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58" w:rsidRPr="00193115" w:rsidRDefault="00A96358" w:rsidP="00A96358">
      <w:pPr>
        <w:ind w:left="10" w:right="29" w:hanging="10"/>
        <w:jc w:val="center"/>
        <w:rPr>
          <w:rFonts w:eastAsia="Verdana" w:cs="Arial"/>
          <w:b/>
          <w:color w:val="000000"/>
          <w:sz w:val="40"/>
          <w:szCs w:val="28"/>
          <w:lang w:val="en-GB"/>
        </w:rPr>
      </w:pPr>
      <w:bookmarkStart w:id="0" w:name="_GoBack"/>
      <w:bookmarkEnd w:id="0"/>
      <w:r w:rsidRPr="00193115">
        <w:rPr>
          <w:rFonts w:eastAsia="Verdana" w:cs="Arial"/>
          <w:b/>
          <w:color w:val="000000"/>
          <w:sz w:val="40"/>
          <w:szCs w:val="28"/>
          <w:lang w:val="en-GB"/>
        </w:rPr>
        <w:t>PROVINCIAL ASSEMBLY OF THE PUNJAB</w:t>
      </w:r>
    </w:p>
    <w:p w:rsidR="00565645" w:rsidRPr="00193115" w:rsidRDefault="00565645" w:rsidP="00565645">
      <w:pPr>
        <w:ind w:left="10" w:right="29" w:hanging="10"/>
        <w:jc w:val="center"/>
        <w:rPr>
          <w:rFonts w:eastAsia="Verdana" w:cs="Arial"/>
          <w:b/>
          <w:color w:val="000000"/>
          <w:sz w:val="28"/>
          <w:szCs w:val="28"/>
          <w:lang w:val="en-GB"/>
        </w:rPr>
      </w:pPr>
      <w:r w:rsidRPr="00193115">
        <w:rPr>
          <w:rFonts w:eastAsia="Verdana" w:cs="Arial"/>
          <w:b/>
          <w:color w:val="000000"/>
          <w:sz w:val="28"/>
          <w:szCs w:val="28"/>
          <w:lang w:val="en-GB"/>
        </w:rPr>
        <w:t>Bill No. 13 of 2019</w:t>
      </w:r>
    </w:p>
    <w:p w:rsidR="00A96358" w:rsidRPr="00193115" w:rsidRDefault="00A96358" w:rsidP="00A96358">
      <w:pPr>
        <w:ind w:left="10" w:right="29" w:hanging="10"/>
        <w:jc w:val="center"/>
        <w:rPr>
          <w:rFonts w:eastAsia="Verdana" w:cs="Arial"/>
          <w:b/>
          <w:color w:val="000000"/>
          <w:sz w:val="18"/>
          <w:szCs w:val="18"/>
          <w:lang w:val="en-GB"/>
        </w:rPr>
      </w:pPr>
    </w:p>
    <w:p w:rsidR="00A96358" w:rsidRPr="00193115" w:rsidRDefault="00517DB2" w:rsidP="0057171A">
      <w:pPr>
        <w:ind w:left="10" w:right="29" w:hanging="10"/>
        <w:jc w:val="center"/>
        <w:rPr>
          <w:rFonts w:eastAsia="Verdana" w:cs="Arial"/>
          <w:b/>
          <w:color w:val="000000"/>
          <w:sz w:val="34"/>
          <w:szCs w:val="34"/>
          <w:lang w:val="en-GB"/>
        </w:rPr>
      </w:pPr>
      <w:r w:rsidRPr="00193115">
        <w:rPr>
          <w:rFonts w:eastAsia="Verdana" w:cs="Arial"/>
          <w:b/>
          <w:color w:val="000000"/>
          <w:sz w:val="34"/>
          <w:szCs w:val="34"/>
          <w:lang w:val="en-GB"/>
        </w:rPr>
        <w:t xml:space="preserve">THE </w:t>
      </w:r>
      <w:r w:rsidR="0001147C">
        <w:rPr>
          <w:rFonts w:eastAsia="Verdana" w:cs="Arial"/>
          <w:b/>
          <w:color w:val="000000"/>
          <w:sz w:val="34"/>
          <w:szCs w:val="34"/>
          <w:lang w:val="en-GB"/>
        </w:rPr>
        <w:t xml:space="preserve">PUNJAB </w:t>
      </w:r>
      <w:r w:rsidR="0057171A" w:rsidRPr="00193115">
        <w:rPr>
          <w:rFonts w:eastAsia="Verdana" w:cs="Arial"/>
          <w:b/>
          <w:color w:val="000000"/>
          <w:sz w:val="34"/>
          <w:szCs w:val="34"/>
          <w:lang w:val="en-GB"/>
        </w:rPr>
        <w:t>ALTERNATIVE DISPUTE RESOLUTION</w:t>
      </w:r>
      <w:r w:rsidR="00A35D69" w:rsidRPr="00193115">
        <w:rPr>
          <w:rFonts w:eastAsia="Verdana" w:cs="Arial"/>
          <w:b/>
          <w:color w:val="000000"/>
          <w:sz w:val="34"/>
          <w:szCs w:val="34"/>
          <w:lang w:val="en-GB"/>
        </w:rPr>
        <w:t xml:space="preserve"> </w:t>
      </w:r>
      <w:r w:rsidRPr="00193115">
        <w:rPr>
          <w:rFonts w:eastAsia="Verdana" w:cs="Arial"/>
          <w:b/>
          <w:color w:val="000000"/>
          <w:sz w:val="34"/>
          <w:szCs w:val="34"/>
          <w:lang w:val="en-GB"/>
        </w:rPr>
        <w:t>BILL 2019</w:t>
      </w:r>
    </w:p>
    <w:p w:rsidR="00A96358" w:rsidRPr="00193115" w:rsidRDefault="00A96358" w:rsidP="00A96358">
      <w:pPr>
        <w:tabs>
          <w:tab w:val="left" w:pos="360"/>
        </w:tabs>
        <w:ind w:left="360" w:right="29" w:hanging="360"/>
        <w:jc w:val="center"/>
        <w:rPr>
          <w:rFonts w:eastAsia="Verdana" w:cs="Arial"/>
          <w:b/>
          <w:color w:val="000000"/>
          <w:sz w:val="16"/>
          <w:szCs w:val="16"/>
          <w:lang w:val="en-GB"/>
        </w:rPr>
      </w:pPr>
    </w:p>
    <w:p w:rsidR="00A96358" w:rsidRPr="00193115" w:rsidRDefault="00A96358" w:rsidP="00A96358">
      <w:pPr>
        <w:ind w:left="10" w:right="29" w:hanging="10"/>
        <w:jc w:val="center"/>
        <w:rPr>
          <w:rFonts w:eastAsia="Verdana" w:cs="Arial"/>
          <w:b/>
          <w:color w:val="000000"/>
          <w:lang w:val="en-GB"/>
        </w:rPr>
      </w:pPr>
    </w:p>
    <w:p w:rsidR="00857F5A" w:rsidRPr="00193115" w:rsidRDefault="00857F5A" w:rsidP="00857F5A">
      <w:pPr>
        <w:jc w:val="center"/>
        <w:rPr>
          <w:rFonts w:cs="Arial"/>
          <w:b/>
          <w:i/>
        </w:rPr>
      </w:pPr>
      <w:r w:rsidRPr="00193115">
        <w:rPr>
          <w:rFonts w:cs="Arial"/>
          <w:b/>
          <w:i/>
        </w:rPr>
        <w:t>A</w:t>
      </w:r>
    </w:p>
    <w:p w:rsidR="00857F5A" w:rsidRPr="00193115" w:rsidRDefault="00857F5A" w:rsidP="00857F5A">
      <w:pPr>
        <w:jc w:val="center"/>
        <w:rPr>
          <w:rFonts w:cs="Arial"/>
          <w:b/>
          <w:i/>
        </w:rPr>
      </w:pPr>
      <w:r w:rsidRPr="00193115">
        <w:rPr>
          <w:rFonts w:cs="Arial"/>
          <w:b/>
          <w:i/>
        </w:rPr>
        <w:t>Bill</w:t>
      </w:r>
    </w:p>
    <w:p w:rsidR="00F01C07" w:rsidRPr="00193115" w:rsidRDefault="00F01C07" w:rsidP="00F01C07">
      <w:pPr>
        <w:pStyle w:val="Title"/>
        <w:spacing w:before="0" w:beforeAutospacing="0" w:after="120" w:afterAutospacing="0"/>
        <w:jc w:val="center"/>
        <w:rPr>
          <w:rFonts w:ascii="Arial" w:hAnsi="Arial" w:cs="Arial"/>
        </w:rPr>
      </w:pPr>
      <w:r w:rsidRPr="00193115">
        <w:rPr>
          <w:rFonts w:ascii="Arial" w:hAnsi="Arial" w:cs="Arial"/>
          <w:i/>
          <w:iCs/>
        </w:rPr>
        <w:t>to provide for a system of alternative dispute resolution of civil and criminal disputes.</w:t>
      </w:r>
    </w:p>
    <w:p w:rsidR="00F01C07" w:rsidRPr="00193115" w:rsidRDefault="00F01C07" w:rsidP="00F01C07">
      <w:pPr>
        <w:pStyle w:val="p6"/>
        <w:spacing w:before="0" w:beforeAutospacing="0" w:after="120" w:afterAutospacing="0"/>
        <w:jc w:val="both"/>
        <w:rPr>
          <w:rFonts w:ascii="Arial" w:hAnsi="Arial" w:cs="Arial"/>
          <w:spacing w:val="-4"/>
        </w:rPr>
      </w:pPr>
      <w:r w:rsidRPr="00193115">
        <w:rPr>
          <w:rFonts w:ascii="Arial" w:hAnsi="Arial" w:cs="Arial"/>
          <w:spacing w:val="-4"/>
        </w:rPr>
        <w:t>It is necessary to ensure in expensive and expeditious justice by means of an alternative dispute resolution system.</w:t>
      </w:r>
    </w:p>
    <w:p w:rsidR="00F01C07" w:rsidRPr="00193115" w:rsidRDefault="00F01C07" w:rsidP="00F01C07">
      <w:pPr>
        <w:pStyle w:val="Title"/>
        <w:spacing w:before="0" w:beforeAutospacing="0" w:after="120" w:afterAutospacing="0"/>
        <w:jc w:val="both"/>
        <w:rPr>
          <w:rFonts w:ascii="Arial" w:hAnsi="Arial" w:cs="Arial"/>
          <w:lang w:val="en-GB"/>
        </w:rPr>
      </w:pPr>
      <w:r w:rsidRPr="00193115">
        <w:rPr>
          <w:rFonts w:ascii="Arial" w:hAnsi="Arial" w:cs="Arial"/>
          <w:lang w:val="en-GB"/>
        </w:rPr>
        <w:t>Be it enacted by Provincial Assembly of the Punjab as follows:</w:t>
      </w:r>
      <w:bookmarkStart w:id="1" w:name="short_1"/>
    </w:p>
    <w:p w:rsidR="00F01C07" w:rsidRPr="00193115" w:rsidRDefault="00F01C07" w:rsidP="00F01C07">
      <w:pPr>
        <w:pStyle w:val="Title"/>
        <w:numPr>
          <w:ilvl w:val="0"/>
          <w:numId w:val="15"/>
        </w:numPr>
        <w:spacing w:before="0" w:beforeAutospacing="0" w:after="120" w:afterAutospacing="0"/>
        <w:ind w:left="0" w:firstLine="0"/>
        <w:jc w:val="both"/>
        <w:rPr>
          <w:rFonts w:ascii="Arial" w:hAnsi="Arial" w:cs="Arial"/>
          <w:lang w:val="en-GB"/>
        </w:rPr>
      </w:pPr>
      <w:r w:rsidRPr="00193115">
        <w:rPr>
          <w:rFonts w:ascii="Arial" w:hAnsi="Arial" w:cs="Arial"/>
          <w:b/>
        </w:rPr>
        <w:t>Short</w:t>
      </w:r>
      <w:bookmarkEnd w:id="1"/>
      <w:r w:rsidRPr="00193115">
        <w:rPr>
          <w:rFonts w:ascii="Arial" w:hAnsi="Arial" w:cs="Arial"/>
          <w:b/>
        </w:rPr>
        <w:t xml:space="preserve"> title, extent and commencement</w:t>
      </w:r>
      <w:r w:rsidRPr="00193115">
        <w:rPr>
          <w:rFonts w:ascii="Arial" w:hAnsi="Arial" w:cs="Arial"/>
        </w:rPr>
        <w:t xml:space="preserve">.– (1) This </w:t>
      </w:r>
      <w:r w:rsidRPr="00193115">
        <w:rPr>
          <w:rFonts w:ascii="Arial" w:hAnsi="Arial" w:cs="Arial"/>
          <w:lang w:val="en-GB"/>
        </w:rPr>
        <w:t>Act</w:t>
      </w:r>
      <w:r w:rsidRPr="00193115">
        <w:rPr>
          <w:rFonts w:ascii="Arial" w:hAnsi="Arial" w:cs="Arial"/>
        </w:rPr>
        <w:t xml:space="preserve"> may be </w:t>
      </w:r>
      <w:r w:rsidRPr="00193115">
        <w:rPr>
          <w:rFonts w:ascii="Arial" w:hAnsi="Arial" w:cs="Arial"/>
          <w:lang w:val="en-GB"/>
        </w:rPr>
        <w:t>cited as the Punjab Alternative Dispute Resolution Act 2019</w:t>
      </w:r>
      <w:r w:rsidRPr="00193115">
        <w:rPr>
          <w:rFonts w:ascii="Arial" w:hAnsi="Arial" w:cs="Arial"/>
        </w:rPr>
        <w:t>.</w:t>
      </w:r>
    </w:p>
    <w:p w:rsidR="00F01C07" w:rsidRPr="00193115" w:rsidRDefault="00F01C07" w:rsidP="00F01C07">
      <w:pPr>
        <w:pStyle w:val="Title"/>
        <w:spacing w:before="0" w:beforeAutospacing="0" w:after="120" w:afterAutospacing="0"/>
        <w:ind w:firstLine="720"/>
        <w:jc w:val="both"/>
        <w:rPr>
          <w:rFonts w:ascii="Arial" w:hAnsi="Arial" w:cs="Arial"/>
        </w:rPr>
      </w:pPr>
      <w:r w:rsidRPr="00193115">
        <w:rPr>
          <w:rFonts w:ascii="Arial" w:hAnsi="Arial" w:cs="Arial"/>
        </w:rPr>
        <w:t>(</w:t>
      </w:r>
      <w:r w:rsidRPr="00193115">
        <w:rPr>
          <w:rFonts w:ascii="Arial" w:hAnsi="Arial" w:cs="Arial"/>
          <w:lang w:val="en-GB"/>
        </w:rPr>
        <w:t>2</w:t>
      </w:r>
      <w:r w:rsidRPr="00193115">
        <w:rPr>
          <w:rFonts w:ascii="Arial" w:hAnsi="Arial" w:cs="Arial"/>
        </w:rPr>
        <w:t>)</w:t>
      </w:r>
      <w:r w:rsidRPr="00193115">
        <w:rPr>
          <w:rFonts w:ascii="Arial" w:hAnsi="Arial" w:cs="Arial"/>
        </w:rPr>
        <w:tab/>
        <w:t>It shall extend to whole of the Punjab.</w:t>
      </w:r>
    </w:p>
    <w:p w:rsidR="00F01C07" w:rsidRPr="00193115" w:rsidRDefault="00F01C07" w:rsidP="00F01C07">
      <w:pPr>
        <w:pStyle w:val="Title"/>
        <w:spacing w:before="0" w:beforeAutospacing="0" w:after="120" w:afterAutospacing="0"/>
        <w:ind w:firstLine="720"/>
        <w:jc w:val="both"/>
        <w:rPr>
          <w:rFonts w:ascii="Arial" w:hAnsi="Arial" w:cs="Arial"/>
        </w:rPr>
      </w:pPr>
      <w:r w:rsidRPr="00193115">
        <w:rPr>
          <w:rFonts w:ascii="Arial" w:hAnsi="Arial" w:cs="Arial"/>
        </w:rPr>
        <w:t xml:space="preserve">(3) </w:t>
      </w:r>
      <w:r w:rsidRPr="00193115">
        <w:rPr>
          <w:rFonts w:ascii="Arial" w:hAnsi="Arial" w:cs="Arial"/>
        </w:rPr>
        <w:tab/>
        <w:t>It shall come into force on such date as the Government may, by notification, appoint and different dates may be so appointed for different areas of the Punjab.</w:t>
      </w:r>
    </w:p>
    <w:p w:rsidR="00F01C07" w:rsidRPr="00193115" w:rsidRDefault="00F01C07" w:rsidP="00F01C07">
      <w:pPr>
        <w:pStyle w:val="Title"/>
        <w:numPr>
          <w:ilvl w:val="0"/>
          <w:numId w:val="15"/>
        </w:numPr>
        <w:spacing w:before="0" w:beforeAutospacing="0" w:after="120" w:afterAutospacing="0"/>
        <w:jc w:val="both"/>
        <w:rPr>
          <w:rFonts w:ascii="Arial" w:hAnsi="Arial" w:cs="Arial"/>
          <w:lang w:val="en-GB"/>
        </w:rPr>
      </w:pPr>
      <w:r w:rsidRPr="00193115">
        <w:rPr>
          <w:rFonts w:ascii="Arial" w:hAnsi="Arial" w:cs="Arial"/>
          <w:b/>
        </w:rPr>
        <w:tab/>
        <w:t>Definitions</w:t>
      </w:r>
      <w:r w:rsidRPr="00193115">
        <w:rPr>
          <w:rFonts w:ascii="Arial" w:hAnsi="Arial" w:cs="Arial"/>
          <w:bCs/>
          <w:spacing w:val="-4"/>
        </w:rPr>
        <w:t>.–</w:t>
      </w:r>
      <w:r w:rsidRPr="00193115">
        <w:rPr>
          <w:rFonts w:ascii="Arial" w:hAnsi="Arial" w:cs="Arial"/>
          <w:b/>
          <w:bCs/>
          <w:spacing w:val="-4"/>
        </w:rPr>
        <w:t xml:space="preserve"> </w:t>
      </w:r>
      <w:r w:rsidRPr="00193115">
        <w:rPr>
          <w:rFonts w:ascii="Arial" w:hAnsi="Arial" w:cs="Arial"/>
        </w:rPr>
        <w:t>In this Act</w:t>
      </w:r>
      <w:r w:rsidRPr="00193115">
        <w:rPr>
          <w:rFonts w:ascii="Arial" w:hAnsi="Arial" w:cs="Arial"/>
          <w:lang w:val="en-GB"/>
        </w:rPr>
        <w:t>:</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lang w:val="en-GB"/>
        </w:rPr>
        <w:t>“Act” means the Punjab Alternate Dispute Resolution Act 2019;</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“Alternative Dispute Resolution (ADR)” means a process in which parties’ resort to resolving a dispute, other than through adjudication by courts, and includes, but is not limited to, arbitration, mediation, conciliation and evaluation;</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“ADR Centre” means a Centre established under the Act;</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‘ADR person’ means a person who may undertake ADR under section 9 of the Act;</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“arbitration” means a process by which parties submit a dispute to the decision of a person or persons appointed by mutual consent or under a statutory provision or contractual obligation;</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“award” means an arbitration award;</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“Code” means the Code of Criminal Procedure, 1898 (V of 1898)</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 xml:space="preserve">“conciliation” means a process where a person encourages the parties to resolve their disputes voluntarily and includes advising possible solution and terms of settlement to them; </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‘court’ means a criminal court or a civil court having original jurisdiction under any law for the time being in force.</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“Government” means Government of the Punjab;</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“mediation” means a process where a mediator facilitates dispute resolution by encouraging communication and negotiation between the parties;</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lastRenderedPageBreak/>
        <w:t>“prescribed” means prescribed by the rules made under the Act;</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“rules” means the rules made under the Act; and</w:t>
      </w:r>
    </w:p>
    <w:p w:rsidR="00F01C07" w:rsidRPr="00193115" w:rsidRDefault="00F01C07" w:rsidP="00F01C07">
      <w:pPr>
        <w:pStyle w:val="Title"/>
        <w:numPr>
          <w:ilvl w:val="0"/>
          <w:numId w:val="16"/>
        </w:numPr>
        <w:spacing w:before="0" w:beforeAutospacing="0" w:after="120" w:afterAutospacing="0"/>
        <w:jc w:val="both"/>
        <w:rPr>
          <w:rFonts w:ascii="Arial" w:hAnsi="Arial" w:cs="Arial"/>
        </w:rPr>
      </w:pPr>
      <w:r w:rsidRPr="00193115">
        <w:rPr>
          <w:rFonts w:ascii="Arial" w:hAnsi="Arial" w:cs="Arial"/>
        </w:rPr>
        <w:t>‘settlement” means the agreement reached between the parties as a result of successful ADR but does not include an award.</w:t>
      </w:r>
      <w:bookmarkStart w:id="2" w:name="incorp_3"/>
    </w:p>
    <w:p w:rsidR="00F01C07" w:rsidRPr="00193115" w:rsidRDefault="00F01C07" w:rsidP="00F01C07">
      <w:pPr>
        <w:pStyle w:val="Title"/>
        <w:numPr>
          <w:ilvl w:val="0"/>
          <w:numId w:val="15"/>
        </w:numPr>
        <w:spacing w:before="0" w:beforeAutospacing="0" w:after="120" w:afterAutospacing="0"/>
        <w:ind w:left="0" w:firstLine="0"/>
        <w:jc w:val="both"/>
        <w:rPr>
          <w:rFonts w:ascii="Arial" w:hAnsi="Arial" w:cs="Arial"/>
        </w:rPr>
      </w:pPr>
      <w:r w:rsidRPr="00193115">
        <w:rPr>
          <w:rFonts w:ascii="Arial" w:hAnsi="Arial" w:cs="Arial"/>
          <w:b/>
          <w:bCs/>
        </w:rPr>
        <w:t>Reference</w:t>
      </w:r>
      <w:bookmarkEnd w:id="2"/>
      <w:r w:rsidRPr="00193115">
        <w:rPr>
          <w:rFonts w:ascii="Arial" w:hAnsi="Arial" w:cs="Arial"/>
          <w:b/>
          <w:bCs/>
        </w:rPr>
        <w:t xml:space="preserve"> in civil disputes</w:t>
      </w:r>
      <w:r w:rsidRPr="00193115">
        <w:rPr>
          <w:rFonts w:ascii="Arial" w:hAnsi="Arial" w:cs="Arial"/>
        </w:rPr>
        <w:t>.– (1) A court shall refer a case mentioned in Schedule I of the Act to ADR within thirty days of appearance of the defendants.</w:t>
      </w:r>
    </w:p>
    <w:p w:rsidR="00F01C07" w:rsidRPr="00193115" w:rsidRDefault="00F01C07" w:rsidP="00F01C07">
      <w:pPr>
        <w:spacing w:after="120"/>
        <w:jc w:val="both"/>
        <w:rPr>
          <w:rFonts w:cs="Arial"/>
        </w:rPr>
      </w:pPr>
      <w:r w:rsidRPr="00193115">
        <w:rPr>
          <w:rFonts w:cs="Arial"/>
        </w:rPr>
        <w:tab/>
        <w:t>(2)</w:t>
      </w:r>
      <w:r w:rsidRPr="00193115">
        <w:rPr>
          <w:rFonts w:cs="Arial"/>
        </w:rPr>
        <w:tab/>
        <w:t>A trial court may refer a case mentioned in Schedule II of the Act to ADR at any time or stage where it is of the view that the case is likely to be resolved through ADR.</w:t>
      </w:r>
    </w:p>
    <w:p w:rsidR="00F01C07" w:rsidRPr="00193115" w:rsidRDefault="00F01C07" w:rsidP="00F01C07">
      <w:pPr>
        <w:spacing w:after="120"/>
        <w:ind w:firstLine="720"/>
        <w:jc w:val="both"/>
        <w:rPr>
          <w:rFonts w:cs="Arial"/>
        </w:rPr>
      </w:pPr>
      <w:r w:rsidRPr="00193115">
        <w:rPr>
          <w:rFonts w:cs="Arial"/>
        </w:rPr>
        <w:t>(3)</w:t>
      </w:r>
      <w:r w:rsidRPr="00193115">
        <w:rPr>
          <w:rFonts w:cs="Arial"/>
        </w:rPr>
        <w:tab/>
        <w:t>The court prior to referring the case to ADR shall ask the parties their opinion as to the referral, and where a reference is made to ADR with the consent of the parties, the court may formulate the points in issue.</w:t>
      </w:r>
    </w:p>
    <w:p w:rsidR="00F01C07" w:rsidRPr="00193115" w:rsidRDefault="00F01C07" w:rsidP="00F01C07">
      <w:pPr>
        <w:spacing w:after="120"/>
        <w:ind w:firstLine="720"/>
        <w:jc w:val="both"/>
        <w:rPr>
          <w:rFonts w:cs="Arial"/>
        </w:rPr>
      </w:pPr>
      <w:r w:rsidRPr="00193115">
        <w:rPr>
          <w:rFonts w:cs="Arial"/>
        </w:rPr>
        <w:t>(4)</w:t>
      </w:r>
      <w:r w:rsidRPr="00193115">
        <w:rPr>
          <w:rFonts w:cs="Arial"/>
        </w:rPr>
        <w:tab/>
        <w:t>In every case where a reference is made to ADR, the court shall provide a time table for completion of ADR proceedings not exceeding 90 days:</w:t>
      </w:r>
    </w:p>
    <w:p w:rsidR="00F01C07" w:rsidRPr="00193115" w:rsidRDefault="00F01C07" w:rsidP="00F01C07">
      <w:pPr>
        <w:spacing w:after="120"/>
        <w:ind w:firstLine="720"/>
        <w:jc w:val="both"/>
        <w:rPr>
          <w:rFonts w:cs="Arial"/>
        </w:rPr>
      </w:pPr>
      <w:r w:rsidRPr="00193115">
        <w:rPr>
          <w:rFonts w:cs="Arial"/>
        </w:rPr>
        <w:t xml:space="preserve">provided that the court on the application of the parties, may extend the time granted for resolution of the case through ADR. </w:t>
      </w:r>
    </w:p>
    <w:p w:rsidR="00F01C07" w:rsidRPr="00193115" w:rsidRDefault="00F01C07" w:rsidP="00F01C07">
      <w:pPr>
        <w:spacing w:after="120"/>
        <w:ind w:firstLine="720"/>
        <w:jc w:val="both"/>
        <w:rPr>
          <w:rFonts w:cs="Arial"/>
        </w:rPr>
      </w:pPr>
      <w:r w:rsidRPr="00193115">
        <w:rPr>
          <w:rFonts w:cs="Arial"/>
        </w:rPr>
        <w:t>provided further that the total time granted for completion of ADR proceedings shall not exceed 6 months in any case.</w:t>
      </w:r>
    </w:p>
    <w:p w:rsidR="00F01C07" w:rsidRPr="00193115" w:rsidRDefault="00F01C07" w:rsidP="00F01C07">
      <w:pPr>
        <w:spacing w:after="120"/>
        <w:ind w:firstLine="720"/>
        <w:jc w:val="both"/>
        <w:rPr>
          <w:rFonts w:cs="Arial"/>
        </w:rPr>
      </w:pPr>
      <w:r w:rsidRPr="00193115">
        <w:rPr>
          <w:rFonts w:cs="Arial"/>
        </w:rPr>
        <w:t>(5)</w:t>
      </w:r>
      <w:r w:rsidRPr="00193115">
        <w:rPr>
          <w:rFonts w:cs="Arial"/>
        </w:rPr>
        <w:tab/>
        <w:t>The trial of a case referred to ADR shall be postponed till the completion of the time allotted for ADR proceedings under subsection (4).</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bCs/>
          <w:sz w:val="24"/>
          <w:szCs w:val="24"/>
        </w:rPr>
        <w:t>Reference in criminal disputes</w:t>
      </w:r>
      <w:r w:rsidRPr="00193115">
        <w:rPr>
          <w:rFonts w:ascii="Arial" w:hAnsi="Arial"/>
          <w:sz w:val="24"/>
          <w:szCs w:val="24"/>
        </w:rPr>
        <w:t>.– (1) A court shall refer a case falling under section 345(1) of the Code to ADR as follows:</w:t>
      </w:r>
    </w:p>
    <w:p w:rsidR="00F01C07" w:rsidRPr="00193115" w:rsidRDefault="00F01C07" w:rsidP="00F01C07">
      <w:pPr>
        <w:pStyle w:val="ListParagraph"/>
        <w:numPr>
          <w:ilvl w:val="1"/>
          <w:numId w:val="15"/>
        </w:numPr>
        <w:spacing w:after="120" w:line="240" w:lineRule="auto"/>
        <w:ind w:hanging="720"/>
        <w:contextualSpacing w:val="0"/>
        <w:jc w:val="both"/>
        <w:rPr>
          <w:rFonts w:ascii="Arial" w:hAnsi="Arial"/>
          <w:sz w:val="24"/>
          <w:szCs w:val="24"/>
        </w:rPr>
      </w:pPr>
      <w:r w:rsidRPr="00193115">
        <w:rPr>
          <w:rFonts w:ascii="Arial" w:hAnsi="Arial"/>
          <w:bCs/>
          <w:sz w:val="24"/>
          <w:szCs w:val="24"/>
        </w:rPr>
        <w:t xml:space="preserve">in a case arising out of a police report: </w:t>
      </w:r>
    </w:p>
    <w:p w:rsidR="00F01C07" w:rsidRPr="00193115" w:rsidRDefault="00F01C07" w:rsidP="00F01C07">
      <w:pPr>
        <w:pStyle w:val="ListParagraph"/>
        <w:numPr>
          <w:ilvl w:val="3"/>
          <w:numId w:val="15"/>
        </w:numPr>
        <w:spacing w:after="120" w:line="240" w:lineRule="auto"/>
        <w:contextualSpacing w:val="0"/>
        <w:jc w:val="both"/>
        <w:rPr>
          <w:rFonts w:ascii="Arial" w:hAnsi="Arial"/>
          <w:sz w:val="24"/>
          <w:szCs w:val="24"/>
        </w:rPr>
      </w:pPr>
      <w:r w:rsidRPr="00193115">
        <w:rPr>
          <w:rFonts w:ascii="Arial" w:hAnsi="Arial"/>
          <w:bCs/>
          <w:sz w:val="24"/>
          <w:szCs w:val="24"/>
        </w:rPr>
        <w:t>on the application by the concerned public prosecutor at any time before framing of the charge; or</w:t>
      </w:r>
    </w:p>
    <w:p w:rsidR="00F01C07" w:rsidRPr="00193115" w:rsidRDefault="00F01C07" w:rsidP="00F01C07">
      <w:pPr>
        <w:pStyle w:val="ListParagraph"/>
        <w:numPr>
          <w:ilvl w:val="3"/>
          <w:numId w:val="15"/>
        </w:numPr>
        <w:spacing w:after="120" w:line="240" w:lineRule="auto"/>
        <w:ind w:hanging="742"/>
        <w:contextualSpacing w:val="0"/>
        <w:jc w:val="both"/>
        <w:rPr>
          <w:rFonts w:ascii="Arial" w:hAnsi="Arial"/>
          <w:sz w:val="24"/>
          <w:szCs w:val="24"/>
        </w:rPr>
      </w:pPr>
      <w:r w:rsidRPr="00193115">
        <w:rPr>
          <w:rFonts w:ascii="Arial" w:hAnsi="Arial"/>
          <w:bCs/>
          <w:sz w:val="24"/>
          <w:szCs w:val="24"/>
        </w:rPr>
        <w:t>on its own within seven days of the framing of the   charge;</w:t>
      </w:r>
    </w:p>
    <w:p w:rsidR="00F01C07" w:rsidRPr="00193115" w:rsidRDefault="00F01C07" w:rsidP="00F01C07">
      <w:pPr>
        <w:pStyle w:val="ListParagraph"/>
        <w:numPr>
          <w:ilvl w:val="1"/>
          <w:numId w:val="15"/>
        </w:numPr>
        <w:spacing w:after="120" w:line="240" w:lineRule="auto"/>
        <w:ind w:hanging="720"/>
        <w:contextualSpacing w:val="0"/>
        <w:jc w:val="both"/>
        <w:rPr>
          <w:rFonts w:ascii="Arial" w:hAnsi="Arial"/>
          <w:sz w:val="24"/>
          <w:szCs w:val="24"/>
        </w:rPr>
      </w:pPr>
      <w:r w:rsidRPr="00193115">
        <w:rPr>
          <w:rFonts w:ascii="Arial" w:hAnsi="Arial"/>
          <w:bCs/>
          <w:sz w:val="24"/>
          <w:szCs w:val="24"/>
        </w:rPr>
        <w:t>in a case arising out of a complaint, on its own, within seven days of the summoning of the accused</w:t>
      </w:r>
    </w:p>
    <w:p w:rsidR="00F01C07" w:rsidRPr="00193115" w:rsidRDefault="00F01C07" w:rsidP="00F01C07">
      <w:pPr>
        <w:spacing w:after="120"/>
        <w:jc w:val="both"/>
        <w:rPr>
          <w:rFonts w:cs="Arial"/>
        </w:rPr>
      </w:pPr>
      <w:r w:rsidRPr="00193115">
        <w:rPr>
          <w:rFonts w:cs="Arial"/>
        </w:rPr>
        <w:tab/>
        <w:t>(2)</w:t>
      </w:r>
      <w:r w:rsidRPr="00193115">
        <w:rPr>
          <w:rFonts w:cs="Arial"/>
        </w:rPr>
        <w:tab/>
        <w:t>A court may refer a case falling under section 345(2) of the Code to ADR as follows:</w:t>
      </w:r>
    </w:p>
    <w:p w:rsidR="00F01C07" w:rsidRPr="00193115" w:rsidRDefault="00F01C07" w:rsidP="00F01C07">
      <w:pPr>
        <w:pStyle w:val="ListParagraph"/>
        <w:numPr>
          <w:ilvl w:val="0"/>
          <w:numId w:val="17"/>
        </w:numPr>
        <w:tabs>
          <w:tab w:val="left" w:pos="1530"/>
        </w:tabs>
        <w:spacing w:after="120" w:line="240" w:lineRule="auto"/>
        <w:ind w:hanging="720"/>
        <w:contextualSpacing w:val="0"/>
        <w:jc w:val="both"/>
        <w:rPr>
          <w:rFonts w:ascii="Arial" w:hAnsi="Arial"/>
          <w:sz w:val="24"/>
          <w:szCs w:val="24"/>
        </w:rPr>
      </w:pPr>
      <w:r w:rsidRPr="00193115">
        <w:rPr>
          <w:rFonts w:ascii="Arial" w:hAnsi="Arial"/>
          <w:bCs/>
          <w:sz w:val="24"/>
          <w:szCs w:val="24"/>
        </w:rPr>
        <w:t xml:space="preserve"> in a case arising out of a police report, with the    agreement of the public prosecutor concerned, at any time after framing of charge</w:t>
      </w:r>
    </w:p>
    <w:p w:rsidR="00F01C07" w:rsidRPr="00193115" w:rsidRDefault="00F01C07" w:rsidP="00F01C07">
      <w:pPr>
        <w:pStyle w:val="ListParagraph"/>
        <w:numPr>
          <w:ilvl w:val="0"/>
          <w:numId w:val="17"/>
        </w:numPr>
        <w:tabs>
          <w:tab w:val="left" w:pos="1530"/>
        </w:tabs>
        <w:spacing w:after="120" w:line="240" w:lineRule="auto"/>
        <w:ind w:hanging="720"/>
        <w:contextualSpacing w:val="0"/>
        <w:jc w:val="both"/>
        <w:rPr>
          <w:rFonts w:ascii="Arial" w:hAnsi="Arial"/>
          <w:sz w:val="24"/>
          <w:szCs w:val="24"/>
        </w:rPr>
      </w:pPr>
      <w:r w:rsidRPr="00193115">
        <w:rPr>
          <w:rFonts w:ascii="Arial" w:hAnsi="Arial"/>
          <w:bCs/>
          <w:sz w:val="24"/>
          <w:szCs w:val="24"/>
        </w:rPr>
        <w:t xml:space="preserve"> in cases arising out of a complaint, with the agreement of the parties to the case, at any time after framing of the charge</w:t>
      </w:r>
    </w:p>
    <w:p w:rsidR="00F01C07" w:rsidRPr="00193115" w:rsidRDefault="00F01C07" w:rsidP="00F01C07">
      <w:pPr>
        <w:pStyle w:val="ListParagraph"/>
        <w:numPr>
          <w:ilvl w:val="2"/>
          <w:numId w:val="15"/>
        </w:numPr>
        <w:spacing w:after="120" w:line="240" w:lineRule="auto"/>
        <w:ind w:left="0" w:firstLine="720"/>
        <w:contextualSpacing w:val="0"/>
        <w:jc w:val="both"/>
        <w:rPr>
          <w:rFonts w:ascii="Arial" w:hAnsi="Arial"/>
          <w:sz w:val="24"/>
          <w:szCs w:val="24"/>
        </w:rPr>
      </w:pPr>
      <w:r w:rsidRPr="00193115">
        <w:rPr>
          <w:rFonts w:ascii="Arial" w:hAnsi="Arial"/>
          <w:sz w:val="24"/>
          <w:szCs w:val="24"/>
        </w:rPr>
        <w:t>In every case where a reference is made to ADR under this section, the court shall provide a time period for completion of the ADR proceedings not exceeding ninety days:</w:t>
      </w:r>
    </w:p>
    <w:p w:rsidR="00F01C07" w:rsidRPr="00193115" w:rsidRDefault="00F01C07" w:rsidP="00F01C07">
      <w:pPr>
        <w:pStyle w:val="ListParagraph"/>
        <w:spacing w:after="120" w:line="240" w:lineRule="auto"/>
        <w:ind w:left="0"/>
        <w:contextualSpacing w:val="0"/>
        <w:jc w:val="both"/>
        <w:rPr>
          <w:rFonts w:ascii="Arial" w:hAnsi="Arial"/>
          <w:sz w:val="24"/>
          <w:szCs w:val="24"/>
        </w:rPr>
      </w:pPr>
      <w:r w:rsidRPr="00193115">
        <w:rPr>
          <w:rFonts w:ascii="Arial" w:hAnsi="Arial"/>
          <w:sz w:val="24"/>
          <w:szCs w:val="24"/>
        </w:rPr>
        <w:tab/>
        <w:t>provided that the court may extend the said time for a further period of 90 days.</w:t>
      </w:r>
    </w:p>
    <w:p w:rsidR="00F01C07" w:rsidRPr="00193115" w:rsidRDefault="00F01C07" w:rsidP="00F01C07">
      <w:pPr>
        <w:pStyle w:val="ListParagraph"/>
        <w:numPr>
          <w:ilvl w:val="2"/>
          <w:numId w:val="15"/>
        </w:numPr>
        <w:spacing w:after="120" w:line="240" w:lineRule="auto"/>
        <w:ind w:left="0" w:firstLine="720"/>
        <w:contextualSpacing w:val="0"/>
        <w:jc w:val="both"/>
        <w:rPr>
          <w:rFonts w:ascii="Arial" w:hAnsi="Arial"/>
          <w:sz w:val="24"/>
          <w:szCs w:val="24"/>
        </w:rPr>
      </w:pPr>
      <w:r w:rsidRPr="00193115">
        <w:rPr>
          <w:rFonts w:ascii="Arial" w:hAnsi="Arial"/>
          <w:sz w:val="24"/>
          <w:szCs w:val="24"/>
        </w:rPr>
        <w:t xml:space="preserve">The court which makes a referral to ADR under subsection (1) shall postpone the trial of the case till the completion of the time allotted for ADR </w:t>
      </w:r>
      <w:r w:rsidRPr="00193115">
        <w:rPr>
          <w:rFonts w:ascii="Arial" w:hAnsi="Arial"/>
          <w:sz w:val="24"/>
          <w:szCs w:val="24"/>
        </w:rPr>
        <w:lastRenderedPageBreak/>
        <w:t>proceedings under subsection (3) unless there are compelling reasons to proceed with the trial.</w:t>
      </w:r>
    </w:p>
    <w:p w:rsidR="00F01C07" w:rsidRPr="00193115" w:rsidRDefault="00F01C07" w:rsidP="00F01C07">
      <w:pPr>
        <w:pStyle w:val="ListParagraph"/>
        <w:numPr>
          <w:ilvl w:val="2"/>
          <w:numId w:val="15"/>
        </w:numPr>
        <w:spacing w:after="120" w:line="240" w:lineRule="auto"/>
        <w:ind w:left="0" w:firstLine="720"/>
        <w:contextualSpacing w:val="0"/>
        <w:jc w:val="both"/>
        <w:rPr>
          <w:rFonts w:ascii="Arial" w:hAnsi="Arial"/>
          <w:sz w:val="24"/>
          <w:szCs w:val="24"/>
        </w:rPr>
      </w:pPr>
      <w:r w:rsidRPr="00193115">
        <w:rPr>
          <w:rFonts w:ascii="Arial" w:hAnsi="Arial"/>
          <w:sz w:val="24"/>
          <w:szCs w:val="24"/>
        </w:rPr>
        <w:t>A court which makes a referral under subsection (2) shall proceed with the trial in the manner provided by the Code.</w:t>
      </w:r>
    </w:p>
    <w:p w:rsidR="00F01C07" w:rsidRPr="00193115" w:rsidRDefault="00F01C07" w:rsidP="00F01C07">
      <w:pPr>
        <w:pStyle w:val="BodyTextIndent3"/>
        <w:numPr>
          <w:ilvl w:val="0"/>
          <w:numId w:val="15"/>
        </w:numPr>
        <w:spacing w:line="240" w:lineRule="auto"/>
        <w:ind w:left="0" w:firstLine="0"/>
        <w:jc w:val="both"/>
        <w:rPr>
          <w:rFonts w:ascii="Arial" w:hAnsi="Arial" w:cs="Arial"/>
          <w:b/>
          <w:spacing w:val="-2"/>
          <w:sz w:val="24"/>
          <w:szCs w:val="24"/>
        </w:rPr>
      </w:pPr>
      <w:r w:rsidRPr="00193115">
        <w:rPr>
          <w:rFonts w:ascii="Arial" w:hAnsi="Arial" w:cs="Arial"/>
          <w:b/>
          <w:spacing w:val="-2"/>
          <w:sz w:val="24"/>
          <w:szCs w:val="24"/>
        </w:rPr>
        <w:t>Power to record evidence during postponement</w:t>
      </w:r>
      <w:r w:rsidRPr="00193115">
        <w:rPr>
          <w:rFonts w:ascii="Arial" w:hAnsi="Arial" w:cs="Arial"/>
          <w:bCs/>
          <w:sz w:val="24"/>
          <w:szCs w:val="24"/>
        </w:rPr>
        <w:t>.–</w:t>
      </w:r>
      <w:r w:rsidRPr="00193115">
        <w:rPr>
          <w:rFonts w:ascii="Arial" w:hAnsi="Arial" w:cs="Arial"/>
          <w:b/>
          <w:spacing w:val="-2"/>
          <w:sz w:val="24"/>
          <w:szCs w:val="24"/>
        </w:rPr>
        <w:t xml:space="preserve"> </w:t>
      </w:r>
      <w:r w:rsidRPr="00193115">
        <w:rPr>
          <w:rFonts w:ascii="Arial" w:hAnsi="Arial" w:cs="Arial"/>
          <w:bCs/>
          <w:spacing w:val="-2"/>
          <w:sz w:val="24"/>
          <w:szCs w:val="24"/>
        </w:rPr>
        <w:t>(1)</w:t>
      </w:r>
      <w:r w:rsidRPr="00193115">
        <w:rPr>
          <w:rFonts w:ascii="Arial" w:hAnsi="Arial" w:cs="Arial"/>
          <w:b/>
          <w:spacing w:val="-2"/>
          <w:sz w:val="24"/>
          <w:szCs w:val="24"/>
        </w:rPr>
        <w:t xml:space="preserve"> </w:t>
      </w:r>
      <w:r w:rsidRPr="00193115">
        <w:rPr>
          <w:rFonts w:ascii="Arial" w:hAnsi="Arial" w:cs="Arial"/>
          <w:spacing w:val="-2"/>
          <w:sz w:val="24"/>
          <w:szCs w:val="24"/>
        </w:rPr>
        <w:t>Nothing in section 3 or 4 shall prohibit or restrain the court from recording evidence which is likely to become unavailable due to postponement of trial.</w:t>
      </w:r>
    </w:p>
    <w:p w:rsidR="00F01C07" w:rsidRPr="00193115" w:rsidRDefault="00F01C07" w:rsidP="00F01C07">
      <w:pPr>
        <w:pStyle w:val="BodyTextIndent3"/>
        <w:spacing w:line="240" w:lineRule="auto"/>
        <w:ind w:left="0"/>
        <w:jc w:val="both"/>
        <w:rPr>
          <w:rFonts w:ascii="Arial" w:hAnsi="Arial" w:cs="Arial"/>
          <w:spacing w:val="-2"/>
          <w:sz w:val="24"/>
          <w:szCs w:val="24"/>
        </w:rPr>
      </w:pPr>
      <w:r w:rsidRPr="00193115">
        <w:rPr>
          <w:rFonts w:ascii="Arial" w:hAnsi="Arial" w:cs="Arial"/>
          <w:spacing w:val="-2"/>
          <w:sz w:val="24"/>
          <w:szCs w:val="24"/>
        </w:rPr>
        <w:tab/>
        <w:t>(2)</w:t>
      </w:r>
      <w:r w:rsidRPr="00193115">
        <w:rPr>
          <w:rFonts w:ascii="Arial" w:hAnsi="Arial" w:cs="Arial"/>
          <w:spacing w:val="-2"/>
          <w:sz w:val="24"/>
          <w:szCs w:val="24"/>
        </w:rPr>
        <w:tab/>
        <w:t>The court may order the recording of evidence of such person on its own or on the application of any party to the trial including the public prosecutor.</w:t>
      </w:r>
    </w:p>
    <w:p w:rsidR="00F01C07" w:rsidRPr="00193115" w:rsidRDefault="00F01C07" w:rsidP="00F01C07">
      <w:pPr>
        <w:pStyle w:val="BodyTextIndent3"/>
        <w:numPr>
          <w:ilvl w:val="0"/>
          <w:numId w:val="15"/>
        </w:numPr>
        <w:spacing w:line="240" w:lineRule="auto"/>
        <w:ind w:left="0" w:firstLine="0"/>
        <w:jc w:val="both"/>
        <w:rPr>
          <w:rFonts w:ascii="Arial" w:hAnsi="Arial" w:cs="Arial"/>
          <w:b/>
          <w:spacing w:val="-2"/>
          <w:sz w:val="24"/>
          <w:szCs w:val="24"/>
        </w:rPr>
      </w:pPr>
      <w:r w:rsidRPr="00193115">
        <w:rPr>
          <w:rFonts w:ascii="Arial" w:hAnsi="Arial" w:cs="Arial"/>
          <w:b/>
          <w:spacing w:val="-2"/>
          <w:sz w:val="24"/>
          <w:szCs w:val="24"/>
        </w:rPr>
        <w:t>Power to refer case to ADR at any time</w:t>
      </w:r>
      <w:r w:rsidRPr="00193115">
        <w:rPr>
          <w:rFonts w:ascii="Arial" w:hAnsi="Arial" w:cs="Arial"/>
          <w:bCs/>
          <w:sz w:val="24"/>
          <w:szCs w:val="24"/>
        </w:rPr>
        <w:t>.–</w:t>
      </w:r>
      <w:r w:rsidRPr="00193115">
        <w:rPr>
          <w:rFonts w:ascii="Arial" w:hAnsi="Arial" w:cs="Arial"/>
          <w:b/>
          <w:spacing w:val="-2"/>
          <w:sz w:val="24"/>
          <w:szCs w:val="24"/>
        </w:rPr>
        <w:t xml:space="preserve"> </w:t>
      </w:r>
      <w:r w:rsidRPr="00193115">
        <w:rPr>
          <w:rFonts w:ascii="Arial" w:hAnsi="Arial" w:cs="Arial"/>
          <w:bCs/>
          <w:spacing w:val="-2"/>
          <w:sz w:val="24"/>
          <w:szCs w:val="24"/>
        </w:rPr>
        <w:t>(1)</w:t>
      </w:r>
      <w:r w:rsidRPr="00193115">
        <w:rPr>
          <w:rFonts w:ascii="Arial" w:hAnsi="Arial" w:cs="Arial"/>
          <w:b/>
          <w:spacing w:val="-2"/>
          <w:sz w:val="24"/>
          <w:szCs w:val="24"/>
        </w:rPr>
        <w:t xml:space="preserve"> </w:t>
      </w:r>
      <w:r w:rsidRPr="00193115">
        <w:rPr>
          <w:rFonts w:ascii="Arial" w:hAnsi="Arial" w:cs="Arial"/>
          <w:spacing w:val="-2"/>
          <w:sz w:val="24"/>
          <w:szCs w:val="24"/>
        </w:rPr>
        <w:t>Nothing in section 3 or 4 shall prohibit or restrain a court from referring a case to ADR at any stage of the case with the consent of the parties.</w:t>
      </w:r>
    </w:p>
    <w:p w:rsidR="00F01C07" w:rsidRPr="00193115" w:rsidRDefault="00F01C07" w:rsidP="00F01C07">
      <w:pPr>
        <w:pStyle w:val="BodyTextIndent3"/>
        <w:spacing w:line="240" w:lineRule="auto"/>
        <w:ind w:left="0"/>
        <w:jc w:val="both"/>
        <w:rPr>
          <w:rFonts w:ascii="Arial" w:hAnsi="Arial" w:cs="Arial"/>
          <w:spacing w:val="-2"/>
          <w:sz w:val="24"/>
          <w:szCs w:val="24"/>
        </w:rPr>
      </w:pPr>
      <w:r w:rsidRPr="00193115">
        <w:rPr>
          <w:rFonts w:ascii="Arial" w:hAnsi="Arial" w:cs="Arial"/>
          <w:spacing w:val="-2"/>
          <w:sz w:val="24"/>
          <w:szCs w:val="24"/>
        </w:rPr>
        <w:tab/>
        <w:t>(2)</w:t>
      </w:r>
      <w:r w:rsidRPr="00193115">
        <w:rPr>
          <w:rFonts w:ascii="Arial" w:hAnsi="Arial" w:cs="Arial"/>
          <w:spacing w:val="-2"/>
          <w:sz w:val="24"/>
          <w:szCs w:val="24"/>
        </w:rPr>
        <w:tab/>
        <w:t>Where a referral is made under sub section (1), the court may if it thinks fit:</w:t>
      </w:r>
    </w:p>
    <w:p w:rsidR="00F01C07" w:rsidRPr="00193115" w:rsidRDefault="00F01C07" w:rsidP="00F01C07">
      <w:pPr>
        <w:pStyle w:val="BodyTextIndent3"/>
        <w:numPr>
          <w:ilvl w:val="0"/>
          <w:numId w:val="18"/>
        </w:numPr>
        <w:spacing w:line="240" w:lineRule="auto"/>
        <w:ind w:hanging="720"/>
        <w:jc w:val="both"/>
        <w:rPr>
          <w:rFonts w:ascii="Arial" w:hAnsi="Arial" w:cs="Arial"/>
          <w:spacing w:val="-2"/>
          <w:sz w:val="24"/>
          <w:szCs w:val="24"/>
        </w:rPr>
      </w:pPr>
      <w:r w:rsidRPr="00193115">
        <w:rPr>
          <w:rFonts w:ascii="Arial" w:hAnsi="Arial" w:cs="Arial"/>
          <w:spacing w:val="-2"/>
          <w:sz w:val="24"/>
          <w:szCs w:val="24"/>
        </w:rPr>
        <w:t>fix a time period for completion of ADR; and</w:t>
      </w:r>
    </w:p>
    <w:p w:rsidR="00F01C07" w:rsidRPr="00193115" w:rsidRDefault="00F01C07" w:rsidP="00F01C07">
      <w:pPr>
        <w:pStyle w:val="BodyTextIndent3"/>
        <w:numPr>
          <w:ilvl w:val="0"/>
          <w:numId w:val="18"/>
        </w:numPr>
        <w:spacing w:line="240" w:lineRule="auto"/>
        <w:ind w:hanging="720"/>
        <w:jc w:val="both"/>
        <w:rPr>
          <w:rFonts w:ascii="Arial" w:hAnsi="Arial" w:cs="Arial"/>
          <w:spacing w:val="-2"/>
          <w:sz w:val="24"/>
          <w:szCs w:val="24"/>
        </w:rPr>
      </w:pPr>
      <w:r w:rsidRPr="00193115">
        <w:rPr>
          <w:rFonts w:ascii="Arial" w:hAnsi="Arial" w:cs="Arial"/>
          <w:spacing w:val="-2"/>
          <w:sz w:val="24"/>
          <w:szCs w:val="24"/>
        </w:rPr>
        <w:t>postpone the trial during the period given for completion  of ADR proceedings.</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b/>
          <w:sz w:val="24"/>
          <w:szCs w:val="24"/>
        </w:rPr>
      </w:pPr>
      <w:r w:rsidRPr="00193115">
        <w:rPr>
          <w:rFonts w:ascii="Arial" w:hAnsi="Arial"/>
          <w:b/>
          <w:sz w:val="24"/>
          <w:szCs w:val="24"/>
        </w:rPr>
        <w:t>Selection of ADR person</w:t>
      </w:r>
      <w:r w:rsidRPr="00193115">
        <w:rPr>
          <w:rFonts w:ascii="Arial" w:hAnsi="Arial"/>
          <w:bCs/>
          <w:sz w:val="24"/>
          <w:szCs w:val="24"/>
        </w:rPr>
        <w:t>.–</w:t>
      </w:r>
      <w:r w:rsidRPr="00193115">
        <w:rPr>
          <w:rFonts w:ascii="Arial" w:hAnsi="Arial"/>
          <w:b/>
          <w:sz w:val="24"/>
          <w:szCs w:val="24"/>
        </w:rPr>
        <w:t xml:space="preserve"> </w:t>
      </w:r>
      <w:r w:rsidRPr="00193115">
        <w:rPr>
          <w:rFonts w:ascii="Arial" w:hAnsi="Arial"/>
          <w:sz w:val="24"/>
          <w:szCs w:val="24"/>
        </w:rPr>
        <w:t>(1) The parties to the case shall select the person or persons who shall undertake ADR.</w:t>
      </w:r>
    </w:p>
    <w:p w:rsidR="00F01C07" w:rsidRPr="00193115" w:rsidRDefault="00F01C07" w:rsidP="00F01C07">
      <w:pPr>
        <w:spacing w:after="120"/>
        <w:ind w:firstLine="720"/>
        <w:jc w:val="both"/>
        <w:rPr>
          <w:rFonts w:cs="Arial"/>
        </w:rPr>
      </w:pPr>
      <w:r w:rsidRPr="00193115">
        <w:rPr>
          <w:rFonts w:cs="Arial"/>
        </w:rPr>
        <w:t>(2)</w:t>
      </w:r>
      <w:r w:rsidRPr="00193115">
        <w:rPr>
          <w:rFonts w:cs="Arial"/>
        </w:rPr>
        <w:tab/>
        <w:t xml:space="preserve">Where the parties are unable to agree on one or more persons for conduct of ADR proceedings, the court shall provide a list of accredited ADR service providers or ADR centers to the parties for selection. </w:t>
      </w:r>
    </w:p>
    <w:p w:rsidR="00F01C07" w:rsidRPr="00193115" w:rsidRDefault="00F01C07" w:rsidP="00F01C07">
      <w:pPr>
        <w:spacing w:after="120"/>
        <w:ind w:firstLine="720"/>
        <w:jc w:val="both"/>
        <w:rPr>
          <w:rFonts w:cs="Arial"/>
        </w:rPr>
      </w:pPr>
      <w:r w:rsidRPr="00193115">
        <w:rPr>
          <w:rFonts w:cs="Arial"/>
        </w:rPr>
        <w:t>(3)</w:t>
      </w:r>
      <w:r w:rsidRPr="00193115">
        <w:rPr>
          <w:rFonts w:cs="Arial"/>
        </w:rPr>
        <w:tab/>
        <w:t xml:space="preserve">Where the parties are unable to arrive at a common decision, the court shall make a reference to an accredited ADR service provider or ADR center in the prescribed manner. </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sz w:val="24"/>
          <w:szCs w:val="24"/>
        </w:rPr>
        <w:t>Return to court</w:t>
      </w:r>
      <w:r w:rsidRPr="00193115">
        <w:rPr>
          <w:rFonts w:ascii="Arial" w:hAnsi="Arial"/>
          <w:bCs/>
          <w:sz w:val="24"/>
          <w:szCs w:val="24"/>
        </w:rPr>
        <w:t>.–</w:t>
      </w:r>
      <w:r w:rsidRPr="00193115">
        <w:rPr>
          <w:rFonts w:ascii="Arial" w:hAnsi="Arial"/>
          <w:sz w:val="24"/>
          <w:szCs w:val="24"/>
        </w:rPr>
        <w:t xml:space="preserve"> A case referred to ADR shall be returned to the court in the prescribed format on the completion of ADR proceedings or on the expiry of the time provided under section 3 or 4 of the Act whichever is earlier.</w:t>
      </w:r>
    </w:p>
    <w:p w:rsidR="00F01C07" w:rsidRPr="00193115" w:rsidRDefault="00F01C07" w:rsidP="00F01C07">
      <w:pPr>
        <w:pStyle w:val="ListParagraph"/>
        <w:spacing w:after="120" w:line="240" w:lineRule="auto"/>
        <w:ind w:left="0"/>
        <w:contextualSpacing w:val="0"/>
        <w:jc w:val="both"/>
        <w:rPr>
          <w:rFonts w:ascii="Arial" w:hAnsi="Arial"/>
          <w:sz w:val="8"/>
          <w:szCs w:val="8"/>
        </w:rPr>
      </w:pP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sz w:val="24"/>
          <w:szCs w:val="24"/>
        </w:rPr>
        <w:t>Confidentiality</w:t>
      </w:r>
      <w:r w:rsidRPr="00193115">
        <w:rPr>
          <w:rFonts w:ascii="Arial" w:hAnsi="Arial"/>
          <w:bCs/>
          <w:sz w:val="24"/>
          <w:szCs w:val="24"/>
        </w:rPr>
        <w:t>.–</w:t>
      </w:r>
      <w:r w:rsidRPr="00193115">
        <w:rPr>
          <w:rFonts w:ascii="Arial" w:hAnsi="Arial"/>
          <w:b/>
          <w:sz w:val="24"/>
          <w:szCs w:val="24"/>
        </w:rPr>
        <w:t xml:space="preserve"> </w:t>
      </w:r>
      <w:r w:rsidRPr="00193115">
        <w:rPr>
          <w:rFonts w:ascii="Arial" w:hAnsi="Arial"/>
          <w:sz w:val="24"/>
          <w:szCs w:val="24"/>
        </w:rPr>
        <w:t>Notwithstanding anything contained in any other law for the time being in force, the person performing ADR and the parties taking part in the ADR proceedings shall keep all matters confidential relating to such proceedings.</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sz w:val="24"/>
          <w:szCs w:val="24"/>
        </w:rPr>
        <w:t>Meaningful offer</w:t>
      </w:r>
      <w:r w:rsidRPr="00193115">
        <w:rPr>
          <w:rFonts w:ascii="Arial" w:hAnsi="Arial"/>
          <w:bCs/>
          <w:sz w:val="24"/>
          <w:szCs w:val="24"/>
        </w:rPr>
        <w:t xml:space="preserve">.– </w:t>
      </w:r>
      <w:r w:rsidRPr="00193115">
        <w:rPr>
          <w:rFonts w:ascii="Arial" w:hAnsi="Arial"/>
          <w:sz w:val="24"/>
          <w:szCs w:val="24"/>
        </w:rPr>
        <w:t>Where a meaningful offer is made by a party to a civil dispute and is rejected by the other, the party which rejects the offer shall not be entitled to costs for the suit and the other party shall be entitled to costs.</w:t>
      </w:r>
    </w:p>
    <w:p w:rsidR="00F01C07" w:rsidRPr="00193115" w:rsidRDefault="00F01C07" w:rsidP="00F01C07">
      <w:pPr>
        <w:pStyle w:val="ListParagraph"/>
        <w:spacing w:after="120" w:line="240" w:lineRule="auto"/>
        <w:ind w:left="0" w:firstLine="720"/>
        <w:contextualSpacing w:val="0"/>
        <w:jc w:val="both"/>
        <w:rPr>
          <w:rFonts w:ascii="Arial" w:hAnsi="Arial"/>
          <w:sz w:val="24"/>
          <w:szCs w:val="24"/>
        </w:rPr>
      </w:pPr>
      <w:r w:rsidRPr="00193115">
        <w:rPr>
          <w:rFonts w:ascii="Arial" w:hAnsi="Arial"/>
          <w:b/>
          <w:sz w:val="24"/>
          <w:szCs w:val="24"/>
        </w:rPr>
        <w:t>Explanation</w:t>
      </w:r>
      <w:r w:rsidRPr="00193115">
        <w:rPr>
          <w:rFonts w:ascii="Arial" w:hAnsi="Arial"/>
          <w:sz w:val="24"/>
          <w:szCs w:val="24"/>
        </w:rPr>
        <w:t>: A ‘meaningful offer’ is an offer which is substantially the same as the decree or order of the court.</w:t>
      </w:r>
    </w:p>
    <w:p w:rsidR="00F01C07" w:rsidRPr="00193115" w:rsidRDefault="00F01C07" w:rsidP="00F01C07">
      <w:pPr>
        <w:pStyle w:val="ListParagraph"/>
        <w:spacing w:after="120" w:line="240" w:lineRule="auto"/>
        <w:ind w:left="0" w:firstLine="720"/>
        <w:contextualSpacing w:val="0"/>
        <w:jc w:val="both"/>
        <w:rPr>
          <w:rFonts w:ascii="Arial" w:hAnsi="Arial"/>
          <w:sz w:val="8"/>
          <w:szCs w:val="8"/>
        </w:rPr>
      </w:pP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sz w:val="24"/>
          <w:szCs w:val="24"/>
        </w:rPr>
        <w:t>Who may perform ADR</w:t>
      </w:r>
      <w:r w:rsidRPr="00193115">
        <w:rPr>
          <w:rFonts w:ascii="Arial" w:hAnsi="Arial"/>
          <w:bCs/>
          <w:sz w:val="24"/>
          <w:szCs w:val="24"/>
        </w:rPr>
        <w:t>.–</w:t>
      </w:r>
      <w:r w:rsidRPr="00193115">
        <w:rPr>
          <w:rFonts w:ascii="Arial" w:hAnsi="Arial"/>
          <w:b/>
          <w:sz w:val="24"/>
          <w:szCs w:val="24"/>
        </w:rPr>
        <w:t xml:space="preserve"> </w:t>
      </w:r>
      <w:r w:rsidRPr="00193115">
        <w:rPr>
          <w:rFonts w:ascii="Arial" w:hAnsi="Arial"/>
          <w:sz w:val="24"/>
          <w:szCs w:val="24"/>
        </w:rPr>
        <w:t xml:space="preserve">(1) ADR under this Act may be undertaken by: </w:t>
      </w:r>
    </w:p>
    <w:p w:rsidR="00F01C07" w:rsidRPr="00193115" w:rsidRDefault="00F01C07" w:rsidP="00F01C07">
      <w:pPr>
        <w:pStyle w:val="ListParagraph"/>
        <w:numPr>
          <w:ilvl w:val="0"/>
          <w:numId w:val="13"/>
        </w:numPr>
        <w:spacing w:after="120" w:line="240" w:lineRule="auto"/>
        <w:ind w:left="1440" w:hanging="720"/>
        <w:contextualSpacing w:val="0"/>
        <w:jc w:val="both"/>
        <w:rPr>
          <w:rFonts w:ascii="Arial" w:hAnsi="Arial"/>
          <w:sz w:val="24"/>
          <w:szCs w:val="24"/>
        </w:rPr>
      </w:pPr>
      <w:r w:rsidRPr="00193115">
        <w:rPr>
          <w:rFonts w:ascii="Arial" w:hAnsi="Arial"/>
          <w:sz w:val="24"/>
          <w:szCs w:val="24"/>
        </w:rPr>
        <w:t>parties directly;</w:t>
      </w:r>
    </w:p>
    <w:p w:rsidR="00F01C07" w:rsidRPr="00193115" w:rsidRDefault="00F01C07" w:rsidP="00F01C07">
      <w:pPr>
        <w:pStyle w:val="ListParagraph"/>
        <w:numPr>
          <w:ilvl w:val="0"/>
          <w:numId w:val="13"/>
        </w:numPr>
        <w:spacing w:after="120" w:line="240" w:lineRule="auto"/>
        <w:ind w:left="1440" w:hanging="720"/>
        <w:contextualSpacing w:val="0"/>
        <w:jc w:val="both"/>
        <w:rPr>
          <w:rFonts w:ascii="Arial" w:hAnsi="Arial"/>
          <w:sz w:val="24"/>
          <w:szCs w:val="24"/>
        </w:rPr>
      </w:pPr>
      <w:r w:rsidRPr="00193115">
        <w:rPr>
          <w:rFonts w:ascii="Arial" w:hAnsi="Arial"/>
          <w:sz w:val="24"/>
          <w:szCs w:val="24"/>
        </w:rPr>
        <w:t>counsel of parties;</w:t>
      </w:r>
    </w:p>
    <w:p w:rsidR="00F01C07" w:rsidRPr="00193115" w:rsidRDefault="00F01C07" w:rsidP="00F01C07">
      <w:pPr>
        <w:pStyle w:val="ListParagraph"/>
        <w:numPr>
          <w:ilvl w:val="0"/>
          <w:numId w:val="13"/>
        </w:numPr>
        <w:spacing w:after="120" w:line="240" w:lineRule="auto"/>
        <w:ind w:left="1440" w:hanging="720"/>
        <w:contextualSpacing w:val="0"/>
        <w:jc w:val="both"/>
        <w:rPr>
          <w:rFonts w:ascii="Arial" w:hAnsi="Arial"/>
          <w:sz w:val="24"/>
          <w:szCs w:val="24"/>
        </w:rPr>
      </w:pPr>
      <w:r w:rsidRPr="00193115">
        <w:rPr>
          <w:rFonts w:ascii="Arial" w:hAnsi="Arial"/>
          <w:sz w:val="24"/>
          <w:szCs w:val="24"/>
        </w:rPr>
        <w:t>one or more persons selected or agreed upon by the parties;</w:t>
      </w:r>
    </w:p>
    <w:p w:rsidR="00F01C07" w:rsidRPr="00193115" w:rsidRDefault="00F01C07" w:rsidP="00F01C07">
      <w:pPr>
        <w:pStyle w:val="ListParagraph"/>
        <w:numPr>
          <w:ilvl w:val="0"/>
          <w:numId w:val="13"/>
        </w:numPr>
        <w:spacing w:after="120" w:line="240" w:lineRule="auto"/>
        <w:ind w:left="1440" w:hanging="720"/>
        <w:contextualSpacing w:val="0"/>
        <w:jc w:val="both"/>
        <w:rPr>
          <w:rFonts w:ascii="Arial" w:hAnsi="Arial"/>
          <w:sz w:val="24"/>
          <w:szCs w:val="24"/>
        </w:rPr>
      </w:pPr>
      <w:r w:rsidRPr="00193115">
        <w:rPr>
          <w:rFonts w:ascii="Arial" w:hAnsi="Arial"/>
          <w:sz w:val="24"/>
          <w:szCs w:val="24"/>
        </w:rPr>
        <w:lastRenderedPageBreak/>
        <w:t>an accredited ADR services provider; and</w:t>
      </w:r>
    </w:p>
    <w:p w:rsidR="00F01C07" w:rsidRPr="00193115" w:rsidRDefault="00F01C07" w:rsidP="00F01C07">
      <w:pPr>
        <w:pStyle w:val="ListParagraph"/>
        <w:numPr>
          <w:ilvl w:val="0"/>
          <w:numId w:val="13"/>
        </w:numPr>
        <w:spacing w:after="120" w:line="240" w:lineRule="auto"/>
        <w:ind w:left="1440" w:hanging="720"/>
        <w:contextualSpacing w:val="0"/>
        <w:jc w:val="both"/>
        <w:rPr>
          <w:rFonts w:ascii="Arial" w:hAnsi="Arial"/>
          <w:sz w:val="24"/>
          <w:szCs w:val="24"/>
        </w:rPr>
      </w:pPr>
      <w:r w:rsidRPr="00193115">
        <w:rPr>
          <w:rFonts w:ascii="Arial" w:hAnsi="Arial"/>
          <w:sz w:val="24"/>
          <w:szCs w:val="24"/>
        </w:rPr>
        <w:t>an accredited ADR center.</w:t>
      </w:r>
    </w:p>
    <w:p w:rsidR="00F01C07" w:rsidRPr="00193115" w:rsidRDefault="00F01C07" w:rsidP="00F01C07">
      <w:pPr>
        <w:spacing w:after="120"/>
        <w:ind w:firstLine="720"/>
        <w:jc w:val="both"/>
        <w:rPr>
          <w:rFonts w:cs="Arial"/>
        </w:rPr>
      </w:pPr>
      <w:r w:rsidRPr="00193115">
        <w:rPr>
          <w:rFonts w:cs="Arial"/>
        </w:rPr>
        <w:t>(2)</w:t>
      </w:r>
      <w:r w:rsidRPr="00193115">
        <w:rPr>
          <w:rFonts w:cs="Arial"/>
        </w:rPr>
        <w:tab/>
        <w:t xml:space="preserve">An ADR center shall not be accredited unless it is registered under the Companies Act, 2017 </w:t>
      </w:r>
      <w:r w:rsidRPr="00193115">
        <w:rPr>
          <w:rFonts w:cs="Arial"/>
          <w:i/>
        </w:rPr>
        <w:t>(XIX of 2017)</w:t>
      </w:r>
    </w:p>
    <w:p w:rsidR="00F01C07" w:rsidRPr="00193115" w:rsidRDefault="00F01C07" w:rsidP="00F01C07">
      <w:pPr>
        <w:spacing w:after="120"/>
        <w:ind w:firstLine="720"/>
        <w:jc w:val="both"/>
        <w:rPr>
          <w:rFonts w:cs="Arial"/>
        </w:rPr>
      </w:pPr>
      <w:r w:rsidRPr="00193115">
        <w:rPr>
          <w:rFonts w:cs="Arial"/>
        </w:rPr>
        <w:t>(3)</w:t>
      </w:r>
      <w:r w:rsidRPr="00193115">
        <w:rPr>
          <w:rFonts w:cs="Arial"/>
        </w:rPr>
        <w:tab/>
        <w:t>An ADR Center and an ADR service provider shall be accredited in the prescribed manner.</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b/>
          <w:bCs/>
          <w:spacing w:val="-4"/>
          <w:sz w:val="24"/>
          <w:szCs w:val="24"/>
        </w:rPr>
      </w:pPr>
      <w:r w:rsidRPr="00193115">
        <w:rPr>
          <w:rFonts w:ascii="Arial" w:hAnsi="Arial"/>
          <w:b/>
          <w:bCs/>
          <w:spacing w:val="-4"/>
          <w:sz w:val="24"/>
          <w:szCs w:val="24"/>
        </w:rPr>
        <w:t>ADR proceedings</w:t>
      </w:r>
      <w:r w:rsidRPr="00193115">
        <w:rPr>
          <w:rFonts w:ascii="Arial" w:hAnsi="Arial"/>
          <w:bCs/>
          <w:sz w:val="24"/>
          <w:szCs w:val="24"/>
        </w:rPr>
        <w:t>.–</w:t>
      </w:r>
      <w:r w:rsidRPr="00193115">
        <w:rPr>
          <w:rFonts w:ascii="Arial" w:hAnsi="Arial"/>
          <w:bCs/>
          <w:spacing w:val="-4"/>
          <w:sz w:val="24"/>
          <w:szCs w:val="24"/>
        </w:rPr>
        <w:t xml:space="preserve"> </w:t>
      </w:r>
      <w:r w:rsidRPr="00193115">
        <w:rPr>
          <w:rFonts w:ascii="Arial" w:hAnsi="Arial"/>
          <w:spacing w:val="-4"/>
          <w:sz w:val="24"/>
          <w:szCs w:val="24"/>
        </w:rPr>
        <w:t xml:space="preserve">(1) The parties to the dispute may take part in the ADR proceedings in person, through authorized agents or attorneys. </w:t>
      </w:r>
    </w:p>
    <w:p w:rsidR="00F01C07" w:rsidRPr="00193115" w:rsidRDefault="00F01C07" w:rsidP="00F01C07">
      <w:pPr>
        <w:spacing w:after="120"/>
        <w:ind w:firstLine="720"/>
        <w:jc w:val="both"/>
        <w:rPr>
          <w:rFonts w:cs="Arial"/>
          <w:spacing w:val="-4"/>
        </w:rPr>
      </w:pPr>
      <w:r w:rsidRPr="00193115">
        <w:rPr>
          <w:rFonts w:cs="Arial"/>
          <w:spacing w:val="-4"/>
        </w:rPr>
        <w:t xml:space="preserve">(2) </w:t>
      </w:r>
      <w:r w:rsidRPr="00193115">
        <w:rPr>
          <w:rFonts w:cs="Arial"/>
          <w:spacing w:val="-4"/>
        </w:rPr>
        <w:tab/>
        <w:t>An attorney who has acted for a party in an ADR proceedings shall not represent another party in the case with regard to the same matter.</w:t>
      </w:r>
    </w:p>
    <w:p w:rsidR="00F01C07" w:rsidRPr="00193115" w:rsidRDefault="00F01C07" w:rsidP="00F01C07">
      <w:pPr>
        <w:pStyle w:val="BodyText"/>
        <w:numPr>
          <w:ilvl w:val="0"/>
          <w:numId w:val="15"/>
        </w:numPr>
        <w:ind w:left="0" w:firstLine="0"/>
        <w:jc w:val="both"/>
        <w:rPr>
          <w:rFonts w:cs="Arial"/>
          <w:bCs/>
          <w:spacing w:val="-4"/>
        </w:rPr>
      </w:pPr>
      <w:r w:rsidRPr="00193115">
        <w:rPr>
          <w:rFonts w:cs="Arial"/>
          <w:b/>
          <w:bCs/>
          <w:spacing w:val="-4"/>
        </w:rPr>
        <w:t>Failure of ADR</w:t>
      </w:r>
      <w:r w:rsidRPr="00193115">
        <w:rPr>
          <w:rFonts w:cs="Arial"/>
          <w:spacing w:val="-4"/>
        </w:rPr>
        <w:t>.–</w:t>
      </w:r>
      <w:r w:rsidRPr="00193115">
        <w:rPr>
          <w:rFonts w:cs="Arial"/>
          <w:bCs/>
          <w:spacing w:val="-4"/>
        </w:rPr>
        <w:t xml:space="preserve"> Where a matter has not been resolved or cannot be resolved through ADR on referral, the court shall proceed to adjudicate the dispute or remaining dispute in accordance with law. </w:t>
      </w:r>
    </w:p>
    <w:p w:rsidR="00F01C07" w:rsidRPr="00193115" w:rsidRDefault="00F01C07" w:rsidP="00F01C07">
      <w:pPr>
        <w:pStyle w:val="BodyText"/>
        <w:numPr>
          <w:ilvl w:val="0"/>
          <w:numId w:val="15"/>
        </w:numPr>
        <w:ind w:left="0" w:firstLine="0"/>
        <w:jc w:val="both"/>
        <w:rPr>
          <w:rFonts w:cs="Arial"/>
          <w:bCs/>
          <w:spacing w:val="-4"/>
        </w:rPr>
      </w:pPr>
      <w:r w:rsidRPr="00193115">
        <w:rPr>
          <w:rFonts w:cs="Arial"/>
          <w:b/>
          <w:bCs/>
        </w:rPr>
        <w:t>Judgement and Decree</w:t>
      </w:r>
      <w:r w:rsidRPr="00193115">
        <w:rPr>
          <w:rFonts w:cs="Arial"/>
          <w:bCs/>
        </w:rPr>
        <w:t xml:space="preserve">.– </w:t>
      </w:r>
      <w:r w:rsidRPr="00193115">
        <w:rPr>
          <w:rFonts w:cs="Arial"/>
        </w:rPr>
        <w:t>(1) When the outcome of the ADR is returned to the court and the court finds that the matter has been completely or partially resolved in accordance with law, the court shall pronounce judgment and in case of a civil dispute pass a decree in terms of the settlement.</w:t>
      </w:r>
    </w:p>
    <w:p w:rsidR="00F01C07" w:rsidRPr="00193115" w:rsidRDefault="00F01C07" w:rsidP="00F01C07">
      <w:pPr>
        <w:pStyle w:val="ListParagraph"/>
        <w:spacing w:after="120" w:line="240" w:lineRule="auto"/>
        <w:ind w:left="0" w:firstLine="720"/>
        <w:contextualSpacing w:val="0"/>
        <w:jc w:val="both"/>
        <w:rPr>
          <w:rFonts w:ascii="Arial" w:hAnsi="Arial"/>
          <w:bCs/>
          <w:sz w:val="24"/>
          <w:szCs w:val="24"/>
        </w:rPr>
      </w:pPr>
      <w:r w:rsidRPr="00193115">
        <w:rPr>
          <w:rFonts w:ascii="Arial" w:hAnsi="Arial"/>
          <w:bCs/>
          <w:sz w:val="24"/>
          <w:szCs w:val="24"/>
        </w:rPr>
        <w:t>(2)</w:t>
      </w:r>
      <w:r w:rsidRPr="00193115">
        <w:rPr>
          <w:rFonts w:ascii="Arial" w:hAnsi="Arial"/>
          <w:bCs/>
          <w:sz w:val="24"/>
          <w:szCs w:val="24"/>
        </w:rPr>
        <w:tab/>
        <w:t>Where the outcome of ADR is not clear, the court may ask the ADR person to provide the requisite clarification.</w:t>
      </w:r>
      <w:bookmarkStart w:id="3" w:name="treasure_17"/>
    </w:p>
    <w:p w:rsidR="00F01C07" w:rsidRPr="00193115" w:rsidRDefault="00F01C07" w:rsidP="00F01C07">
      <w:pPr>
        <w:pStyle w:val="ListParagraph"/>
        <w:spacing w:after="120" w:line="240" w:lineRule="auto"/>
        <w:ind w:left="0" w:firstLine="720"/>
        <w:contextualSpacing w:val="0"/>
        <w:jc w:val="both"/>
        <w:rPr>
          <w:rFonts w:ascii="Arial" w:hAnsi="Arial"/>
          <w:bCs/>
          <w:sz w:val="8"/>
          <w:szCs w:val="8"/>
        </w:rPr>
      </w:pP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bCs/>
          <w:sz w:val="24"/>
          <w:szCs w:val="24"/>
        </w:rPr>
        <w:t xml:space="preserve">Appeal and revision </w:t>
      </w:r>
      <w:bookmarkEnd w:id="3"/>
      <w:r w:rsidRPr="00193115">
        <w:rPr>
          <w:rFonts w:ascii="Arial" w:hAnsi="Arial"/>
          <w:b/>
          <w:bCs/>
          <w:sz w:val="24"/>
          <w:szCs w:val="24"/>
        </w:rPr>
        <w:t>barred</w:t>
      </w:r>
      <w:r w:rsidRPr="00193115">
        <w:rPr>
          <w:rFonts w:ascii="Arial" w:hAnsi="Arial"/>
          <w:bCs/>
          <w:sz w:val="24"/>
          <w:szCs w:val="24"/>
        </w:rPr>
        <w:t>.– (1)</w:t>
      </w:r>
      <w:r w:rsidRPr="00193115">
        <w:rPr>
          <w:rFonts w:ascii="Arial" w:hAnsi="Arial"/>
          <w:sz w:val="24"/>
          <w:szCs w:val="24"/>
        </w:rPr>
        <w:t xml:space="preserve"> No revision or appeal shall lie from the decree or order of the court under this Act except provided by this section.</w:t>
      </w:r>
    </w:p>
    <w:p w:rsidR="00F01C07" w:rsidRPr="00193115" w:rsidRDefault="00F01C07" w:rsidP="00F01C07">
      <w:pPr>
        <w:pStyle w:val="BodyTextIndent3"/>
        <w:spacing w:line="240" w:lineRule="auto"/>
        <w:ind w:left="0" w:firstLine="720"/>
        <w:jc w:val="both"/>
        <w:rPr>
          <w:rFonts w:ascii="Arial" w:hAnsi="Arial" w:cs="Arial"/>
          <w:sz w:val="24"/>
          <w:szCs w:val="24"/>
        </w:rPr>
      </w:pPr>
      <w:r w:rsidRPr="00193115">
        <w:rPr>
          <w:rFonts w:ascii="Arial" w:hAnsi="Arial" w:cs="Arial"/>
          <w:sz w:val="24"/>
          <w:szCs w:val="24"/>
        </w:rPr>
        <w:t>(2)</w:t>
      </w:r>
      <w:r w:rsidRPr="00193115">
        <w:rPr>
          <w:rFonts w:ascii="Arial" w:hAnsi="Arial" w:cs="Arial"/>
          <w:sz w:val="24"/>
          <w:szCs w:val="24"/>
        </w:rPr>
        <w:tab/>
        <w:t>A public prosecutor may challenge the judgment of a court with regard to a case falling under subsection (2) of section 345 of the Code.</w:t>
      </w:r>
    </w:p>
    <w:p w:rsidR="00F01C07" w:rsidRPr="00193115" w:rsidRDefault="00F01C07" w:rsidP="00F01C07">
      <w:pPr>
        <w:pStyle w:val="BodyTextIndent3"/>
        <w:numPr>
          <w:ilvl w:val="0"/>
          <w:numId w:val="15"/>
        </w:numPr>
        <w:spacing w:line="240" w:lineRule="auto"/>
        <w:ind w:left="0" w:firstLine="0"/>
        <w:jc w:val="both"/>
        <w:rPr>
          <w:rFonts w:ascii="Arial" w:hAnsi="Arial" w:cs="Arial"/>
          <w:spacing w:val="-2"/>
          <w:sz w:val="24"/>
          <w:szCs w:val="24"/>
        </w:rPr>
      </w:pPr>
      <w:r w:rsidRPr="00193115">
        <w:rPr>
          <w:rFonts w:ascii="Arial" w:hAnsi="Arial" w:cs="Arial"/>
          <w:b/>
          <w:bCs/>
          <w:spacing w:val="-2"/>
          <w:sz w:val="24"/>
          <w:szCs w:val="24"/>
        </w:rPr>
        <w:t>Savings</w:t>
      </w:r>
      <w:r w:rsidRPr="00193115">
        <w:rPr>
          <w:rFonts w:ascii="Arial" w:hAnsi="Arial" w:cs="Arial"/>
          <w:bCs/>
          <w:spacing w:val="-2"/>
          <w:sz w:val="24"/>
          <w:szCs w:val="24"/>
        </w:rPr>
        <w:t>.–</w:t>
      </w:r>
      <w:r w:rsidRPr="00193115">
        <w:rPr>
          <w:rFonts w:ascii="Arial" w:hAnsi="Arial" w:cs="Arial"/>
          <w:b/>
          <w:bCs/>
          <w:spacing w:val="-2"/>
          <w:sz w:val="24"/>
          <w:szCs w:val="24"/>
        </w:rPr>
        <w:t xml:space="preserve"> </w:t>
      </w:r>
      <w:r w:rsidRPr="00193115">
        <w:rPr>
          <w:rFonts w:ascii="Arial" w:hAnsi="Arial" w:cs="Arial"/>
          <w:bCs/>
          <w:spacing w:val="-2"/>
          <w:sz w:val="24"/>
          <w:szCs w:val="24"/>
        </w:rPr>
        <w:t xml:space="preserve">(1) Save as provided in the Act, the ADR proceedings shall be privileged and shall not be admissible in evidence before any court without consent of the parties and the person undertaking ADR shall not be required to appear as a witness or otherwise in any arbitral or judicial proceedings with respect to the dispute that is or has been the subject matter of the ADR but </w:t>
      </w:r>
      <w:r w:rsidRPr="00193115">
        <w:rPr>
          <w:rFonts w:ascii="Arial" w:hAnsi="Arial" w:cs="Arial"/>
          <w:spacing w:val="-2"/>
          <w:sz w:val="24"/>
          <w:szCs w:val="24"/>
        </w:rPr>
        <w:t>the final settlement, award or agreement, wholly or partly, between the parties shall be admissible in evidence in any subsequent proceedings between them relating to the same subject matter.</w:t>
      </w:r>
    </w:p>
    <w:p w:rsidR="00F01C07" w:rsidRPr="00193115" w:rsidRDefault="00F01C07" w:rsidP="00F01C07">
      <w:pPr>
        <w:pStyle w:val="BodyTextIndent3"/>
        <w:spacing w:line="240" w:lineRule="auto"/>
        <w:ind w:left="0"/>
        <w:jc w:val="both"/>
        <w:rPr>
          <w:rFonts w:ascii="Arial" w:hAnsi="Arial" w:cs="Arial"/>
          <w:spacing w:val="-2"/>
          <w:sz w:val="24"/>
          <w:szCs w:val="24"/>
        </w:rPr>
      </w:pPr>
      <w:r w:rsidRPr="00193115">
        <w:rPr>
          <w:rFonts w:ascii="Arial" w:hAnsi="Arial" w:cs="Arial"/>
          <w:spacing w:val="-2"/>
          <w:sz w:val="24"/>
          <w:szCs w:val="24"/>
        </w:rPr>
        <w:tab/>
        <w:t xml:space="preserve">(2) </w:t>
      </w:r>
      <w:r w:rsidRPr="00193115">
        <w:rPr>
          <w:rFonts w:ascii="Arial" w:hAnsi="Arial" w:cs="Arial"/>
          <w:spacing w:val="-2"/>
          <w:sz w:val="24"/>
          <w:szCs w:val="24"/>
        </w:rPr>
        <w:tab/>
        <w:t>The ADR person shall not act as an agent or attorney of any party to the ADR, in any subsequent proceedings with respect to a dispute that is or has been the subject matter of the ADR.</w:t>
      </w:r>
    </w:p>
    <w:p w:rsidR="00F01C07" w:rsidRPr="00193115" w:rsidRDefault="00F01C07" w:rsidP="00F01C07">
      <w:pPr>
        <w:pStyle w:val="BodyTextIndent3"/>
        <w:spacing w:line="240" w:lineRule="auto"/>
        <w:ind w:left="0"/>
        <w:jc w:val="both"/>
        <w:rPr>
          <w:rFonts w:ascii="Arial" w:hAnsi="Arial" w:cs="Arial"/>
          <w:spacing w:val="-2"/>
          <w:sz w:val="24"/>
          <w:szCs w:val="24"/>
        </w:rPr>
      </w:pPr>
      <w:r w:rsidRPr="00193115">
        <w:rPr>
          <w:rFonts w:ascii="Arial" w:hAnsi="Arial" w:cs="Arial"/>
          <w:spacing w:val="-2"/>
          <w:sz w:val="24"/>
          <w:szCs w:val="24"/>
        </w:rPr>
        <w:tab/>
        <w:t xml:space="preserve">(3) </w:t>
      </w:r>
      <w:r w:rsidRPr="00193115">
        <w:rPr>
          <w:rFonts w:ascii="Arial" w:hAnsi="Arial" w:cs="Arial"/>
          <w:spacing w:val="-2"/>
          <w:sz w:val="24"/>
          <w:szCs w:val="24"/>
        </w:rPr>
        <w:tab/>
        <w:t>No suit, prosecution or other legal proceedings shall lie against a ADR person or any other person connected with the ADR proceedings for anything which is done or intended to be done in good faith under the Act except w</w:t>
      </w:r>
      <w:r w:rsidRPr="00193115">
        <w:rPr>
          <w:rFonts w:ascii="Arial" w:hAnsi="Arial" w:cs="Arial"/>
          <w:sz w:val="24"/>
          <w:szCs w:val="24"/>
        </w:rPr>
        <w:t>here the ADR person allowed or ordered the commission of an offence in retaliation of an offence which was the subject of ADR proceedings before him.</w:t>
      </w:r>
    </w:p>
    <w:p w:rsidR="00F01C07" w:rsidRPr="00193115" w:rsidRDefault="00F01C07" w:rsidP="00F01C07">
      <w:pPr>
        <w:pStyle w:val="BodyText"/>
        <w:numPr>
          <w:ilvl w:val="0"/>
          <w:numId w:val="15"/>
        </w:numPr>
        <w:tabs>
          <w:tab w:val="left" w:pos="0"/>
        </w:tabs>
        <w:ind w:left="0" w:firstLine="0"/>
        <w:jc w:val="both"/>
        <w:rPr>
          <w:rFonts w:cs="Arial"/>
        </w:rPr>
      </w:pPr>
      <w:r w:rsidRPr="00193115">
        <w:rPr>
          <w:rFonts w:cs="Arial"/>
          <w:b/>
          <w:bCs/>
        </w:rPr>
        <w:t>Application of certain laws</w:t>
      </w:r>
      <w:r w:rsidRPr="00193115">
        <w:rPr>
          <w:rFonts w:cs="Arial"/>
          <w:bCs/>
        </w:rPr>
        <w:t>.–</w:t>
      </w:r>
      <w:r w:rsidRPr="00193115">
        <w:rPr>
          <w:rFonts w:cs="Arial"/>
          <w:b/>
          <w:bCs/>
        </w:rPr>
        <w:t xml:space="preserve"> </w:t>
      </w:r>
      <w:r w:rsidRPr="00193115">
        <w:rPr>
          <w:rFonts w:cs="Arial"/>
        </w:rPr>
        <w:t>(1) Subject to the provisions of this Act, the following laws and the rules made thereunder shall apply</w:t>
      </w:r>
      <w:r w:rsidRPr="00193115">
        <w:rPr>
          <w:rFonts w:cs="Arial"/>
          <w:i/>
        </w:rPr>
        <w:t xml:space="preserve"> mutatis mutandis</w:t>
      </w:r>
      <w:r w:rsidRPr="00193115">
        <w:rPr>
          <w:rFonts w:cs="Arial"/>
        </w:rPr>
        <w:t xml:space="preserve"> to the proceedings under the Act:</w:t>
      </w:r>
    </w:p>
    <w:p w:rsidR="00F01C07" w:rsidRPr="00193115" w:rsidRDefault="00F01C07" w:rsidP="00F01C07">
      <w:pPr>
        <w:pStyle w:val="BodyText"/>
        <w:numPr>
          <w:ilvl w:val="0"/>
          <w:numId w:val="12"/>
        </w:numPr>
        <w:jc w:val="both"/>
        <w:rPr>
          <w:rFonts w:cs="Arial"/>
        </w:rPr>
      </w:pPr>
      <w:r w:rsidRPr="00193115">
        <w:rPr>
          <w:rFonts w:cs="Arial"/>
        </w:rPr>
        <w:t xml:space="preserve">The Oaths Act, 1873 </w:t>
      </w:r>
      <w:r w:rsidRPr="00193115">
        <w:rPr>
          <w:rFonts w:cs="Arial"/>
          <w:i/>
        </w:rPr>
        <w:t>(X of 1873)</w:t>
      </w:r>
      <w:r w:rsidRPr="00193115">
        <w:rPr>
          <w:rFonts w:cs="Arial"/>
        </w:rPr>
        <w:t>;</w:t>
      </w:r>
    </w:p>
    <w:p w:rsidR="00F01C07" w:rsidRPr="00193115" w:rsidRDefault="00F01C07" w:rsidP="00F01C07">
      <w:pPr>
        <w:pStyle w:val="BodyText"/>
        <w:numPr>
          <w:ilvl w:val="0"/>
          <w:numId w:val="12"/>
        </w:numPr>
        <w:jc w:val="both"/>
        <w:rPr>
          <w:rFonts w:cs="Arial"/>
        </w:rPr>
      </w:pPr>
      <w:r w:rsidRPr="00193115">
        <w:rPr>
          <w:rFonts w:cs="Arial"/>
        </w:rPr>
        <w:lastRenderedPageBreak/>
        <w:t xml:space="preserve">The Limitation Act, 1908 </w:t>
      </w:r>
      <w:r w:rsidRPr="00193115">
        <w:rPr>
          <w:rFonts w:cs="Arial"/>
          <w:i/>
        </w:rPr>
        <w:t>(IX of 1908)</w:t>
      </w:r>
      <w:r w:rsidRPr="00193115">
        <w:rPr>
          <w:rFonts w:cs="Arial"/>
        </w:rPr>
        <w:t>;</w:t>
      </w:r>
    </w:p>
    <w:p w:rsidR="00F01C07" w:rsidRPr="00193115" w:rsidRDefault="00F01C07" w:rsidP="00F01C07">
      <w:pPr>
        <w:pStyle w:val="BodyText"/>
        <w:jc w:val="both"/>
        <w:rPr>
          <w:rFonts w:cs="Arial"/>
        </w:rPr>
      </w:pPr>
      <w:r w:rsidRPr="00193115">
        <w:rPr>
          <w:rFonts w:cs="Arial"/>
        </w:rPr>
        <w:tab/>
        <w:t>(c)</w:t>
      </w:r>
      <w:r w:rsidRPr="00193115">
        <w:rPr>
          <w:rFonts w:cs="Arial"/>
        </w:rPr>
        <w:tab/>
        <w:t xml:space="preserve">The Arbitration Act, 1940 </w:t>
      </w:r>
      <w:r w:rsidRPr="00193115">
        <w:rPr>
          <w:rFonts w:cs="Arial"/>
          <w:i/>
        </w:rPr>
        <w:t>(X of 1940);</w:t>
      </w:r>
    </w:p>
    <w:p w:rsidR="00F01C07" w:rsidRPr="00193115" w:rsidRDefault="00F01C07" w:rsidP="00F01C07">
      <w:pPr>
        <w:pStyle w:val="BodyText"/>
        <w:ind w:left="1440"/>
        <w:jc w:val="both"/>
        <w:rPr>
          <w:rFonts w:cs="Arial"/>
        </w:rPr>
      </w:pPr>
      <w:r w:rsidRPr="00193115">
        <w:rPr>
          <w:rFonts w:cs="Arial"/>
        </w:rPr>
        <w:t xml:space="preserve">Provided that notwithstanding anything contained in the Arbitration Act, 1940 </w:t>
      </w:r>
      <w:r w:rsidRPr="00193115">
        <w:rPr>
          <w:rFonts w:cs="Arial"/>
          <w:i/>
        </w:rPr>
        <w:t>(X of 1940)</w:t>
      </w:r>
      <w:r w:rsidRPr="00193115">
        <w:rPr>
          <w:rFonts w:cs="Arial"/>
        </w:rPr>
        <w:t xml:space="preserve">, in an arbitration under this Act, the arbitrator shall be appointed with mutual consent of the parties. </w:t>
      </w:r>
    </w:p>
    <w:p w:rsidR="00F01C07" w:rsidRPr="00193115" w:rsidRDefault="00F01C07" w:rsidP="00F01C07">
      <w:pPr>
        <w:pStyle w:val="BodyText"/>
        <w:jc w:val="both"/>
        <w:rPr>
          <w:rFonts w:cs="Arial"/>
        </w:rPr>
      </w:pPr>
      <w:r w:rsidRPr="00193115">
        <w:rPr>
          <w:rFonts w:cs="Arial"/>
        </w:rPr>
        <w:tab/>
        <w:t xml:space="preserve">(2) </w:t>
      </w:r>
      <w:r w:rsidRPr="00193115">
        <w:rPr>
          <w:rFonts w:cs="Arial"/>
        </w:rPr>
        <w:tab/>
        <w:t xml:space="preserve">Save as provided in the Act, the Qanun-e-Shahadat Order, 1984 </w:t>
      </w:r>
      <w:r w:rsidRPr="00193115">
        <w:rPr>
          <w:rFonts w:cs="Arial"/>
          <w:i/>
        </w:rPr>
        <w:t>(P.O. No. 10 of 1984)</w:t>
      </w:r>
      <w:r w:rsidRPr="00193115">
        <w:rPr>
          <w:rFonts w:cs="Arial"/>
        </w:rPr>
        <w:t xml:space="preserve"> shall not apply to the ADR proceedings under the Act provided that the ADR person may adhere to principles of evidence contained in the Qanun-e-Shahadat Order, 1984.</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bCs/>
          <w:sz w:val="24"/>
          <w:szCs w:val="24"/>
        </w:rPr>
        <w:t>Overriding effect</w:t>
      </w:r>
      <w:r w:rsidRPr="00193115">
        <w:rPr>
          <w:rFonts w:ascii="Arial" w:hAnsi="Arial"/>
          <w:bCs/>
          <w:sz w:val="24"/>
          <w:szCs w:val="24"/>
        </w:rPr>
        <w:t>.– T</w:t>
      </w:r>
      <w:r w:rsidRPr="00193115">
        <w:rPr>
          <w:rFonts w:ascii="Arial" w:hAnsi="Arial"/>
          <w:sz w:val="24"/>
          <w:szCs w:val="24"/>
        </w:rPr>
        <w:t>he provisions of the Act shall have effect notwithstanding anything contained in any other law for the time being in force.</w:t>
      </w:r>
    </w:p>
    <w:p w:rsidR="00F01C07" w:rsidRPr="00193115" w:rsidRDefault="00F01C07" w:rsidP="00F01C07">
      <w:pPr>
        <w:pStyle w:val="ListParagraph"/>
        <w:spacing w:after="120" w:line="240" w:lineRule="auto"/>
        <w:ind w:left="0"/>
        <w:contextualSpacing w:val="0"/>
        <w:jc w:val="both"/>
        <w:rPr>
          <w:rFonts w:ascii="Arial" w:hAnsi="Arial"/>
          <w:sz w:val="24"/>
          <w:szCs w:val="24"/>
        </w:rPr>
      </w:pP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sz w:val="24"/>
          <w:szCs w:val="24"/>
        </w:rPr>
        <w:t>Cases pending in appeal or revision</w:t>
      </w:r>
      <w:r w:rsidRPr="00193115">
        <w:rPr>
          <w:rFonts w:ascii="Arial" w:hAnsi="Arial"/>
          <w:bCs/>
          <w:sz w:val="24"/>
          <w:szCs w:val="24"/>
        </w:rPr>
        <w:t>.–</w:t>
      </w:r>
      <w:r w:rsidRPr="00193115">
        <w:rPr>
          <w:rFonts w:ascii="Arial" w:hAnsi="Arial"/>
          <w:sz w:val="24"/>
          <w:szCs w:val="24"/>
        </w:rPr>
        <w:t xml:space="preserve"> The provision of the Act shall, with the consent of the parties, apply </w:t>
      </w:r>
      <w:r w:rsidRPr="00193115">
        <w:rPr>
          <w:rFonts w:ascii="Arial" w:hAnsi="Arial"/>
          <w:i/>
          <w:sz w:val="24"/>
          <w:szCs w:val="24"/>
        </w:rPr>
        <w:t xml:space="preserve">mutatis mutandis </w:t>
      </w:r>
      <w:r w:rsidRPr="00193115">
        <w:rPr>
          <w:rFonts w:ascii="Arial" w:hAnsi="Arial"/>
          <w:sz w:val="24"/>
          <w:szCs w:val="24"/>
        </w:rPr>
        <w:t>to a dispute pending adjudication in an appeal or revision.</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bCs/>
          <w:sz w:val="24"/>
          <w:szCs w:val="24"/>
        </w:rPr>
        <w:t>Code of Conduct</w:t>
      </w:r>
      <w:r w:rsidRPr="00193115">
        <w:rPr>
          <w:rFonts w:ascii="Arial" w:hAnsi="Arial"/>
          <w:bCs/>
          <w:sz w:val="24"/>
          <w:szCs w:val="24"/>
        </w:rPr>
        <w:t xml:space="preserve">.– (1) </w:t>
      </w:r>
      <w:r w:rsidRPr="00193115">
        <w:rPr>
          <w:rFonts w:ascii="Arial" w:hAnsi="Arial"/>
          <w:sz w:val="24"/>
          <w:szCs w:val="24"/>
        </w:rPr>
        <w:t>The Government shall prescribe a Code of Conduct for ADR service providers and ADR centers accredited under this Act.</w:t>
      </w:r>
    </w:p>
    <w:p w:rsidR="00F01C07" w:rsidRPr="00193115" w:rsidRDefault="00F01C07" w:rsidP="00F01C07">
      <w:pPr>
        <w:pStyle w:val="ListParagraph"/>
        <w:spacing w:after="120" w:line="240" w:lineRule="auto"/>
        <w:ind w:left="0" w:firstLine="720"/>
        <w:contextualSpacing w:val="0"/>
        <w:jc w:val="both"/>
        <w:rPr>
          <w:rFonts w:ascii="Arial" w:hAnsi="Arial"/>
          <w:bCs/>
          <w:sz w:val="24"/>
          <w:szCs w:val="24"/>
        </w:rPr>
      </w:pPr>
      <w:r w:rsidRPr="00193115">
        <w:rPr>
          <w:rFonts w:ascii="Arial" w:hAnsi="Arial"/>
          <w:bCs/>
          <w:sz w:val="24"/>
          <w:szCs w:val="24"/>
        </w:rPr>
        <w:t>(2)</w:t>
      </w:r>
      <w:r w:rsidRPr="00193115">
        <w:rPr>
          <w:rFonts w:ascii="Arial" w:hAnsi="Arial"/>
          <w:bCs/>
          <w:sz w:val="24"/>
          <w:szCs w:val="24"/>
        </w:rPr>
        <w:tab/>
        <w:t>An ADR service provider and an ADR center shall comply with and act in accordance with the provisions of the Code of Conduct.</w:t>
      </w:r>
    </w:p>
    <w:p w:rsidR="00F01C07" w:rsidRPr="00193115" w:rsidRDefault="00F01C07" w:rsidP="00F01C07">
      <w:pPr>
        <w:pStyle w:val="ListParagraph"/>
        <w:spacing w:after="120" w:line="240" w:lineRule="auto"/>
        <w:ind w:left="0" w:firstLine="720"/>
        <w:contextualSpacing w:val="0"/>
        <w:jc w:val="both"/>
        <w:rPr>
          <w:rFonts w:ascii="Arial" w:hAnsi="Arial"/>
          <w:bCs/>
          <w:sz w:val="24"/>
          <w:szCs w:val="24"/>
        </w:rPr>
      </w:pPr>
      <w:r w:rsidRPr="00193115">
        <w:rPr>
          <w:rFonts w:ascii="Arial" w:hAnsi="Arial"/>
          <w:bCs/>
          <w:sz w:val="24"/>
          <w:szCs w:val="24"/>
        </w:rPr>
        <w:t>(3)</w:t>
      </w:r>
      <w:r w:rsidRPr="00193115">
        <w:rPr>
          <w:rFonts w:ascii="Arial" w:hAnsi="Arial"/>
          <w:bCs/>
          <w:sz w:val="24"/>
          <w:szCs w:val="24"/>
        </w:rPr>
        <w:tab/>
        <w:t>An ADR service provider or center who commits a violation of the Code of Conduct shall be removed from the list of accredited service providers or centers by the prescribed authority.</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bCs/>
          <w:sz w:val="24"/>
          <w:szCs w:val="24"/>
        </w:rPr>
      </w:pPr>
      <w:r w:rsidRPr="00193115">
        <w:rPr>
          <w:rFonts w:ascii="Arial" w:hAnsi="Arial"/>
          <w:b/>
          <w:bCs/>
          <w:sz w:val="24"/>
          <w:szCs w:val="24"/>
        </w:rPr>
        <w:t>Accreditation Authority</w:t>
      </w:r>
      <w:r w:rsidRPr="00193115">
        <w:rPr>
          <w:rFonts w:ascii="Arial" w:hAnsi="Arial"/>
          <w:bCs/>
          <w:sz w:val="24"/>
          <w:szCs w:val="24"/>
        </w:rPr>
        <w:t>.– (1) The Government may notify  an authority established by law for purposes of accrediting ADR service providers or ADR centers  .</w:t>
      </w:r>
    </w:p>
    <w:p w:rsidR="00F01C07" w:rsidRPr="00193115" w:rsidRDefault="00F01C07" w:rsidP="00F01C07">
      <w:pPr>
        <w:pStyle w:val="ListParagraph"/>
        <w:spacing w:after="120" w:line="240" w:lineRule="auto"/>
        <w:ind w:left="0" w:firstLine="720"/>
        <w:contextualSpacing w:val="0"/>
        <w:jc w:val="both"/>
        <w:rPr>
          <w:rFonts w:ascii="Arial" w:hAnsi="Arial"/>
          <w:bCs/>
          <w:sz w:val="24"/>
          <w:szCs w:val="24"/>
        </w:rPr>
      </w:pPr>
      <w:r w:rsidRPr="00193115">
        <w:rPr>
          <w:rFonts w:ascii="Arial" w:hAnsi="Arial"/>
          <w:bCs/>
          <w:sz w:val="24"/>
          <w:szCs w:val="24"/>
        </w:rPr>
        <w:t>(2)</w:t>
      </w:r>
      <w:r w:rsidRPr="00193115">
        <w:rPr>
          <w:rFonts w:ascii="Arial" w:hAnsi="Arial"/>
          <w:bCs/>
          <w:sz w:val="24"/>
          <w:szCs w:val="24"/>
        </w:rPr>
        <w:tab/>
        <w:t xml:space="preserve">Where the Government notifies an authority under subsection (1), it shall provide such authority with the requisite staff and funds. </w:t>
      </w:r>
    </w:p>
    <w:p w:rsidR="00F01C07" w:rsidRPr="00193115" w:rsidRDefault="00F01C07" w:rsidP="00F01C07">
      <w:pPr>
        <w:spacing w:after="120"/>
        <w:ind w:firstLine="720"/>
        <w:jc w:val="both"/>
        <w:rPr>
          <w:rFonts w:cs="Arial"/>
          <w:bCs/>
        </w:rPr>
      </w:pPr>
      <w:r w:rsidRPr="00193115">
        <w:rPr>
          <w:rFonts w:cs="Arial"/>
          <w:bCs/>
        </w:rPr>
        <w:t>(3)</w:t>
      </w:r>
      <w:r w:rsidRPr="00193115">
        <w:rPr>
          <w:rFonts w:cs="Arial"/>
          <w:bCs/>
        </w:rPr>
        <w:tab/>
        <w:t>The Government may subject to rules entrust accreditation work to any entity qualified to perform work of accreditation.</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sz w:val="24"/>
          <w:szCs w:val="24"/>
        </w:rPr>
        <w:t>Costs and fees of ADR</w:t>
      </w:r>
      <w:r w:rsidRPr="00193115">
        <w:rPr>
          <w:rFonts w:ascii="Arial" w:hAnsi="Arial"/>
          <w:sz w:val="24"/>
          <w:szCs w:val="24"/>
        </w:rPr>
        <w:t>.– The costs and fees of the ADR proceeding, if required, shall be borne by the parties in such proportion as may be mutually agreed upon by them failing which it shall be determined by the rules made under the Act.</w:t>
      </w:r>
    </w:p>
    <w:p w:rsidR="00F01C07" w:rsidRPr="00193115" w:rsidRDefault="00F01C07" w:rsidP="00F01C07">
      <w:pPr>
        <w:pStyle w:val="ListParagraph"/>
        <w:numPr>
          <w:ilvl w:val="0"/>
          <w:numId w:val="15"/>
        </w:numPr>
        <w:spacing w:after="120" w:line="240" w:lineRule="auto"/>
        <w:ind w:left="0" w:firstLine="0"/>
        <w:contextualSpacing w:val="0"/>
        <w:jc w:val="both"/>
        <w:rPr>
          <w:rFonts w:ascii="Arial" w:hAnsi="Arial"/>
          <w:sz w:val="24"/>
          <w:szCs w:val="24"/>
        </w:rPr>
      </w:pPr>
      <w:r w:rsidRPr="00193115">
        <w:rPr>
          <w:rFonts w:ascii="Arial" w:hAnsi="Arial"/>
          <w:b/>
          <w:bCs/>
          <w:sz w:val="24"/>
          <w:szCs w:val="24"/>
        </w:rPr>
        <w:t>Power to make rules</w:t>
      </w:r>
      <w:r w:rsidRPr="00193115">
        <w:rPr>
          <w:rFonts w:ascii="Arial" w:hAnsi="Arial"/>
          <w:bCs/>
          <w:sz w:val="24"/>
          <w:szCs w:val="24"/>
        </w:rPr>
        <w:t>.–</w:t>
      </w:r>
      <w:r w:rsidRPr="00193115">
        <w:rPr>
          <w:rFonts w:ascii="Arial" w:hAnsi="Arial"/>
          <w:b/>
          <w:bCs/>
          <w:sz w:val="24"/>
          <w:szCs w:val="24"/>
        </w:rPr>
        <w:t xml:space="preserve"> </w:t>
      </w:r>
      <w:r w:rsidRPr="00193115">
        <w:rPr>
          <w:rFonts w:ascii="Arial" w:hAnsi="Arial"/>
          <w:sz w:val="24"/>
          <w:szCs w:val="24"/>
        </w:rPr>
        <w:t>(1) The Government may, by notification in the official Gazette, make rules for carrying out the purposes of the Act.</w:t>
      </w:r>
    </w:p>
    <w:p w:rsidR="00F01C07" w:rsidRPr="00193115" w:rsidRDefault="00F01C07" w:rsidP="00F01C07">
      <w:pPr>
        <w:pStyle w:val="BodyText"/>
        <w:jc w:val="both"/>
        <w:rPr>
          <w:rFonts w:cs="Arial"/>
        </w:rPr>
      </w:pPr>
      <w:r w:rsidRPr="00193115">
        <w:rPr>
          <w:rFonts w:cs="Arial"/>
        </w:rPr>
        <w:tab/>
        <w:t>(2)</w:t>
      </w:r>
      <w:r w:rsidRPr="00193115">
        <w:rPr>
          <w:rFonts w:cs="Arial"/>
        </w:rPr>
        <w:tab/>
        <w:t>Notwithstanding the generality of subsection (1), the Government may make rules:</w:t>
      </w:r>
    </w:p>
    <w:p w:rsidR="00F01C07" w:rsidRPr="00193115" w:rsidRDefault="00F01C07" w:rsidP="00F01C07">
      <w:pPr>
        <w:pStyle w:val="BodyText"/>
        <w:numPr>
          <w:ilvl w:val="0"/>
          <w:numId w:val="14"/>
        </w:numPr>
        <w:ind w:hanging="720"/>
        <w:jc w:val="both"/>
        <w:rPr>
          <w:rFonts w:cs="Arial"/>
        </w:rPr>
      </w:pPr>
      <w:r w:rsidRPr="00193115">
        <w:rPr>
          <w:rFonts w:cs="Arial"/>
        </w:rPr>
        <w:t>to provide for ethical conduct in the provision of ADR services by licensed ADR service providers and ADR centers;</w:t>
      </w:r>
    </w:p>
    <w:p w:rsidR="00F01C07" w:rsidRPr="00193115" w:rsidRDefault="00F01C07" w:rsidP="00F01C07">
      <w:pPr>
        <w:pStyle w:val="BodyText"/>
        <w:numPr>
          <w:ilvl w:val="0"/>
          <w:numId w:val="14"/>
        </w:numPr>
        <w:ind w:hanging="720"/>
        <w:jc w:val="both"/>
        <w:rPr>
          <w:rFonts w:cs="Arial"/>
        </w:rPr>
      </w:pPr>
      <w:r w:rsidRPr="00193115">
        <w:rPr>
          <w:rFonts w:cs="Arial"/>
        </w:rPr>
        <w:t>to provide for accreditation of licensed ADR service providers; and</w:t>
      </w:r>
    </w:p>
    <w:p w:rsidR="00F01C07" w:rsidRPr="00193115" w:rsidRDefault="00F01C07" w:rsidP="00F01C07">
      <w:pPr>
        <w:pStyle w:val="BodyText"/>
        <w:numPr>
          <w:ilvl w:val="0"/>
          <w:numId w:val="14"/>
        </w:numPr>
        <w:ind w:hanging="720"/>
        <w:jc w:val="both"/>
        <w:rPr>
          <w:rFonts w:cs="Arial"/>
        </w:rPr>
      </w:pPr>
      <w:r w:rsidRPr="00193115">
        <w:rPr>
          <w:rFonts w:cs="Arial"/>
        </w:rPr>
        <w:t>to provide for documentation of decisions</w:t>
      </w:r>
    </w:p>
    <w:p w:rsidR="00F01C07" w:rsidRPr="00193115" w:rsidRDefault="00F01C07" w:rsidP="00F01C07">
      <w:pPr>
        <w:pStyle w:val="BodyText"/>
        <w:numPr>
          <w:ilvl w:val="0"/>
          <w:numId w:val="14"/>
        </w:numPr>
        <w:ind w:hanging="720"/>
        <w:jc w:val="both"/>
        <w:rPr>
          <w:rFonts w:cs="Arial"/>
        </w:rPr>
      </w:pPr>
      <w:r w:rsidRPr="00193115">
        <w:rPr>
          <w:rFonts w:cs="Arial"/>
        </w:rPr>
        <w:t>to provide for procedures to be adopted during ADR proceedings</w:t>
      </w:r>
    </w:p>
    <w:p w:rsidR="00F01C07" w:rsidRPr="00193115" w:rsidRDefault="00F01C07" w:rsidP="00F01C07">
      <w:pPr>
        <w:pStyle w:val="BodyText"/>
        <w:numPr>
          <w:ilvl w:val="0"/>
          <w:numId w:val="15"/>
        </w:numPr>
        <w:ind w:left="0" w:firstLine="0"/>
        <w:jc w:val="both"/>
        <w:rPr>
          <w:rFonts w:cs="Arial"/>
        </w:rPr>
      </w:pPr>
      <w:r w:rsidRPr="00193115">
        <w:rPr>
          <w:rFonts w:cs="Arial"/>
          <w:b/>
        </w:rPr>
        <w:lastRenderedPageBreak/>
        <w:t>Power to amend the Schedules</w:t>
      </w:r>
      <w:r w:rsidRPr="00193115">
        <w:rPr>
          <w:rFonts w:cs="Arial"/>
        </w:rPr>
        <w:t>.–</w:t>
      </w:r>
      <w:r w:rsidRPr="00193115">
        <w:rPr>
          <w:rFonts w:cs="Arial"/>
          <w:b/>
        </w:rPr>
        <w:t xml:space="preserve"> </w:t>
      </w:r>
      <w:r w:rsidRPr="00193115">
        <w:rPr>
          <w:rFonts w:cs="Arial"/>
        </w:rPr>
        <w:t>The Government may, in consultation with the High Court, amend the schedules to the Act, from time to time, so as to add an entry thereto or omit therefrom or modify any entry therein.</w:t>
      </w:r>
    </w:p>
    <w:p w:rsidR="00F01C07" w:rsidRPr="00193115" w:rsidRDefault="00F01C07" w:rsidP="00F01C07">
      <w:pPr>
        <w:pStyle w:val="BodyText"/>
        <w:numPr>
          <w:ilvl w:val="0"/>
          <w:numId w:val="15"/>
        </w:numPr>
        <w:ind w:left="0" w:firstLine="0"/>
        <w:jc w:val="both"/>
        <w:rPr>
          <w:rFonts w:cs="Arial"/>
        </w:rPr>
      </w:pPr>
      <w:r w:rsidRPr="00193115">
        <w:rPr>
          <w:rFonts w:cs="Arial"/>
          <w:b/>
          <w:bCs/>
        </w:rPr>
        <w:t>Removal of difficulty</w:t>
      </w:r>
      <w:r w:rsidRPr="00193115">
        <w:rPr>
          <w:rFonts w:cs="Arial"/>
          <w:bCs/>
        </w:rPr>
        <w:t>.–</w:t>
      </w:r>
      <w:r w:rsidRPr="00193115">
        <w:rPr>
          <w:rFonts w:cs="Arial"/>
          <w:b/>
          <w:bCs/>
        </w:rPr>
        <w:t xml:space="preserve"> </w:t>
      </w:r>
      <w:r w:rsidRPr="00193115">
        <w:rPr>
          <w:rFonts w:cs="Arial"/>
        </w:rPr>
        <w:t>If any difficulty arises in giving effect to any provision of the Act, the Government may, within two years of the commencement of the Act, make such order not inconsistent with the provisions of the Act as may be necessary to remove the difficulty.</w:t>
      </w:r>
    </w:p>
    <w:p w:rsidR="00F01C07" w:rsidRPr="00193115" w:rsidRDefault="00F01C07" w:rsidP="00F01C07">
      <w:pPr>
        <w:pStyle w:val="BodyText"/>
        <w:numPr>
          <w:ilvl w:val="0"/>
          <w:numId w:val="15"/>
        </w:numPr>
        <w:ind w:left="0" w:firstLine="0"/>
        <w:jc w:val="both"/>
        <w:rPr>
          <w:rFonts w:cs="Arial"/>
        </w:rPr>
      </w:pPr>
      <w:r w:rsidRPr="00193115">
        <w:rPr>
          <w:rFonts w:cs="Arial"/>
          <w:b/>
          <w:bCs/>
        </w:rPr>
        <w:t>Repeal</w:t>
      </w:r>
      <w:r w:rsidRPr="00193115">
        <w:rPr>
          <w:rFonts w:cs="Arial"/>
          <w:bCs/>
        </w:rPr>
        <w:t>.–</w:t>
      </w:r>
      <w:r w:rsidRPr="00193115">
        <w:rPr>
          <w:rFonts w:cs="Arial"/>
          <w:b/>
          <w:bCs/>
        </w:rPr>
        <w:t xml:space="preserve"> </w:t>
      </w:r>
      <w:r w:rsidRPr="00193115">
        <w:rPr>
          <w:rFonts w:cs="Arial"/>
        </w:rPr>
        <w:t xml:space="preserve">Subject to the provisions of section 19 of the Act, section 89-A of the Code of Civil Procedure, 1908 </w:t>
      </w:r>
      <w:r w:rsidRPr="00193115">
        <w:rPr>
          <w:rFonts w:cs="Arial"/>
          <w:i/>
        </w:rPr>
        <w:t xml:space="preserve">(V of 1908) </w:t>
      </w:r>
      <w:r w:rsidRPr="00193115">
        <w:rPr>
          <w:rFonts w:cs="Arial"/>
        </w:rPr>
        <w:t>and clause (iii), Rule 1A, Order X in the First Schedule to that Code, to the extent of the Punjab, are hereby repealed.</w:t>
      </w:r>
    </w:p>
    <w:p w:rsidR="00F01C07" w:rsidRPr="00193115" w:rsidRDefault="00F01C07" w:rsidP="00F01C07">
      <w:pPr>
        <w:pStyle w:val="BodyText"/>
        <w:jc w:val="both"/>
        <w:rPr>
          <w:rFonts w:cs="Arial"/>
        </w:rPr>
      </w:pPr>
    </w:p>
    <w:p w:rsidR="00F01C07" w:rsidRPr="00193115" w:rsidRDefault="00F01C07" w:rsidP="00F01C07">
      <w:pPr>
        <w:spacing w:after="120"/>
        <w:jc w:val="center"/>
        <w:rPr>
          <w:rFonts w:cs="Arial"/>
          <w:b/>
        </w:rPr>
      </w:pPr>
      <w:r w:rsidRPr="00193115">
        <w:rPr>
          <w:rFonts w:cs="Arial"/>
          <w:b/>
        </w:rPr>
        <w:t>SCHEDULE-I</w:t>
      </w:r>
    </w:p>
    <w:p w:rsidR="00F01C07" w:rsidRPr="00193115" w:rsidRDefault="00F01C07" w:rsidP="00F01C07">
      <w:pPr>
        <w:spacing w:after="120"/>
        <w:jc w:val="center"/>
        <w:rPr>
          <w:rFonts w:cs="Arial"/>
        </w:rPr>
      </w:pPr>
      <w:r w:rsidRPr="00193115">
        <w:rPr>
          <w:rFonts w:cs="Arial"/>
        </w:rPr>
        <w:t>[See section 3(1)]</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A dispute between a landlord and tenant under the Punjab Rented Premises Act, 2009 (VII of 2009).</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Dispute involving pre-emption under the Punjab Pre-Emption Act, 1991 (IX of 1991).</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 xml:space="preserve">Disputes relating to possession of immovable property. </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Disputes relating to ownership of immoveable property.</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Dispute arising out of enforcement of commercial contracts except those that in fall in schedule II.</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Suits for specific performance of contracts except those that fall in schedule II.</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Disputes arising out of negotiable instruments under the Negotiable Instruments Act, 1881 (XXVI of 1881) except those that fall in schedule II.</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Suits arising out of Tort except those that fall in schedule II.</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Dispute for recovery of movable property or value thereof.</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Dispute for separate possession of joint immovable property through partition or otherwise including claims for mesne profits.</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Disputes for rendition of accounts of joint property.</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Disputes to remove nuisance.</w:t>
      </w:r>
    </w:p>
    <w:p w:rsidR="00F01C07" w:rsidRPr="00193115" w:rsidRDefault="00F01C07" w:rsidP="00F01C07">
      <w:pPr>
        <w:pStyle w:val="ListParagraph"/>
        <w:numPr>
          <w:ilvl w:val="0"/>
          <w:numId w:val="10"/>
        </w:numPr>
        <w:spacing w:after="120" w:line="240" w:lineRule="auto"/>
        <w:ind w:left="720"/>
        <w:contextualSpacing w:val="0"/>
        <w:jc w:val="both"/>
        <w:rPr>
          <w:rFonts w:ascii="Arial" w:hAnsi="Arial"/>
          <w:sz w:val="24"/>
          <w:szCs w:val="24"/>
        </w:rPr>
      </w:pPr>
      <w:r w:rsidRPr="00193115">
        <w:rPr>
          <w:rFonts w:ascii="Arial" w:hAnsi="Arial"/>
          <w:sz w:val="24"/>
          <w:szCs w:val="24"/>
        </w:rPr>
        <w:t>Disputes involving recovery of money.</w:t>
      </w:r>
    </w:p>
    <w:p w:rsidR="00F01C07" w:rsidRPr="00193115" w:rsidRDefault="00F01C07" w:rsidP="00F01C07">
      <w:pPr>
        <w:spacing w:after="120"/>
        <w:jc w:val="center"/>
        <w:rPr>
          <w:rFonts w:cs="Arial"/>
          <w:b/>
        </w:rPr>
      </w:pPr>
    </w:p>
    <w:p w:rsidR="00F01C07" w:rsidRPr="00193115" w:rsidRDefault="00F01C07" w:rsidP="00F01C07">
      <w:pPr>
        <w:spacing w:after="120"/>
        <w:jc w:val="center"/>
        <w:rPr>
          <w:rFonts w:cs="Arial"/>
          <w:b/>
        </w:rPr>
      </w:pPr>
      <w:r w:rsidRPr="00193115">
        <w:rPr>
          <w:rFonts w:cs="Arial"/>
          <w:b/>
        </w:rPr>
        <w:t>SCHEDULE-II</w:t>
      </w:r>
    </w:p>
    <w:p w:rsidR="00F01C07" w:rsidRPr="00193115" w:rsidRDefault="00F01C07" w:rsidP="00F01C07">
      <w:pPr>
        <w:spacing w:after="120"/>
        <w:jc w:val="center"/>
        <w:rPr>
          <w:rFonts w:cs="Arial"/>
        </w:rPr>
      </w:pPr>
      <w:r w:rsidRPr="00193115">
        <w:rPr>
          <w:rFonts w:cs="Arial"/>
        </w:rPr>
        <w:t>[See section 3(2)]</w:t>
      </w:r>
    </w:p>
    <w:p w:rsidR="00F01C07" w:rsidRPr="00193115" w:rsidRDefault="00F01C07" w:rsidP="00F01C07">
      <w:pPr>
        <w:pStyle w:val="ListParagraph"/>
        <w:numPr>
          <w:ilvl w:val="0"/>
          <w:numId w:val="11"/>
        </w:numPr>
        <w:spacing w:after="120" w:line="240" w:lineRule="auto"/>
        <w:ind w:left="720"/>
        <w:contextualSpacing w:val="0"/>
        <w:jc w:val="both"/>
        <w:rPr>
          <w:rFonts w:ascii="Arial" w:hAnsi="Arial"/>
          <w:sz w:val="24"/>
          <w:szCs w:val="24"/>
        </w:rPr>
      </w:pPr>
      <w:r w:rsidRPr="00193115">
        <w:rPr>
          <w:rFonts w:ascii="Arial" w:hAnsi="Arial"/>
          <w:sz w:val="24"/>
          <w:szCs w:val="24"/>
        </w:rPr>
        <w:t>Family disputes including guardianship and custody of children.</w:t>
      </w:r>
    </w:p>
    <w:p w:rsidR="00F01C07" w:rsidRPr="00193115" w:rsidRDefault="00F01C07" w:rsidP="00F01C07">
      <w:pPr>
        <w:pStyle w:val="ListParagraph"/>
        <w:numPr>
          <w:ilvl w:val="0"/>
          <w:numId w:val="11"/>
        </w:numPr>
        <w:spacing w:after="120" w:line="240" w:lineRule="auto"/>
        <w:ind w:left="720"/>
        <w:contextualSpacing w:val="0"/>
        <w:jc w:val="both"/>
        <w:rPr>
          <w:rFonts w:ascii="Arial" w:hAnsi="Arial"/>
          <w:sz w:val="24"/>
          <w:szCs w:val="24"/>
        </w:rPr>
      </w:pPr>
      <w:r w:rsidRPr="00193115">
        <w:rPr>
          <w:rFonts w:ascii="Arial" w:hAnsi="Arial"/>
          <w:sz w:val="24"/>
          <w:szCs w:val="24"/>
        </w:rPr>
        <w:t>Disputes relating to professional negligence under Tort or the Punjab Consumer Protection Act, 2005 (II of 2005).</w:t>
      </w:r>
    </w:p>
    <w:p w:rsidR="00F01C07" w:rsidRPr="00193115" w:rsidRDefault="00F01C07" w:rsidP="00F01C07">
      <w:pPr>
        <w:pStyle w:val="ListParagraph"/>
        <w:numPr>
          <w:ilvl w:val="0"/>
          <w:numId w:val="11"/>
        </w:numPr>
        <w:spacing w:after="120" w:line="240" w:lineRule="auto"/>
        <w:ind w:left="720"/>
        <w:contextualSpacing w:val="0"/>
        <w:jc w:val="both"/>
        <w:rPr>
          <w:rFonts w:ascii="Arial" w:hAnsi="Arial"/>
          <w:sz w:val="24"/>
          <w:szCs w:val="24"/>
        </w:rPr>
      </w:pPr>
      <w:r w:rsidRPr="00193115">
        <w:rPr>
          <w:rFonts w:ascii="Arial" w:hAnsi="Arial"/>
          <w:sz w:val="24"/>
          <w:szCs w:val="24"/>
        </w:rPr>
        <w:t>Suits under the Banking Companies Ordinance, 1962 (LVII of 1962).</w:t>
      </w:r>
    </w:p>
    <w:p w:rsidR="00F01C07" w:rsidRPr="00193115" w:rsidRDefault="00F01C07" w:rsidP="00F01C07">
      <w:pPr>
        <w:pStyle w:val="ListParagraph"/>
        <w:numPr>
          <w:ilvl w:val="0"/>
          <w:numId w:val="11"/>
        </w:numPr>
        <w:spacing w:after="120" w:line="240" w:lineRule="auto"/>
        <w:ind w:left="720"/>
        <w:contextualSpacing w:val="0"/>
        <w:jc w:val="both"/>
        <w:rPr>
          <w:rFonts w:ascii="Arial" w:hAnsi="Arial"/>
          <w:sz w:val="24"/>
          <w:szCs w:val="24"/>
        </w:rPr>
      </w:pPr>
      <w:r w:rsidRPr="00193115">
        <w:rPr>
          <w:rFonts w:ascii="Arial" w:hAnsi="Arial"/>
          <w:sz w:val="24"/>
          <w:szCs w:val="24"/>
        </w:rPr>
        <w:lastRenderedPageBreak/>
        <w:t>Disputes involving copy rights and/ or patents under the Copyright Ordinance, 1962 (XXXIV of 1962) and/ or the Patent Ordinance, 2000 (LXI of 2000).</w:t>
      </w:r>
    </w:p>
    <w:p w:rsidR="00F01C07" w:rsidRPr="00193115" w:rsidRDefault="00F01C07" w:rsidP="00F01C07">
      <w:pPr>
        <w:pStyle w:val="ListParagraph"/>
        <w:numPr>
          <w:ilvl w:val="0"/>
          <w:numId w:val="11"/>
        </w:numPr>
        <w:spacing w:after="120" w:line="240" w:lineRule="auto"/>
        <w:ind w:left="720"/>
        <w:contextualSpacing w:val="0"/>
        <w:jc w:val="both"/>
        <w:rPr>
          <w:rFonts w:ascii="Arial" w:hAnsi="Arial"/>
          <w:sz w:val="24"/>
          <w:szCs w:val="24"/>
        </w:rPr>
      </w:pPr>
      <w:r w:rsidRPr="00193115">
        <w:rPr>
          <w:rFonts w:ascii="Arial" w:hAnsi="Arial"/>
          <w:sz w:val="24"/>
          <w:szCs w:val="24"/>
        </w:rPr>
        <w:t>Disputes involving trademarks under the Trademarks Ordinance, 2001 (XIX of 2001).</w:t>
      </w:r>
    </w:p>
    <w:p w:rsidR="00F01C07" w:rsidRPr="00193115" w:rsidRDefault="00F01C07" w:rsidP="00F01C07">
      <w:pPr>
        <w:pStyle w:val="ListParagraph"/>
        <w:numPr>
          <w:ilvl w:val="0"/>
          <w:numId w:val="11"/>
        </w:numPr>
        <w:spacing w:after="120" w:line="240" w:lineRule="auto"/>
        <w:ind w:left="720"/>
        <w:contextualSpacing w:val="0"/>
        <w:jc w:val="both"/>
        <w:rPr>
          <w:rFonts w:ascii="Arial" w:hAnsi="Arial"/>
          <w:sz w:val="24"/>
          <w:szCs w:val="24"/>
        </w:rPr>
      </w:pPr>
      <w:r w:rsidRPr="00193115">
        <w:rPr>
          <w:rFonts w:ascii="Arial" w:hAnsi="Arial"/>
          <w:sz w:val="24"/>
          <w:szCs w:val="24"/>
        </w:rPr>
        <w:t>Suits for redemption of mortgaged property under the Transfer of Property Act, 1882 (IV of 1882).</w:t>
      </w:r>
    </w:p>
    <w:p w:rsidR="00F01C07" w:rsidRPr="00193115" w:rsidRDefault="00F01C07" w:rsidP="00F01C07">
      <w:pPr>
        <w:spacing w:after="120"/>
        <w:jc w:val="both"/>
        <w:rPr>
          <w:rFonts w:cs="Arial"/>
          <w:sz w:val="16"/>
          <w:szCs w:val="16"/>
        </w:rPr>
      </w:pPr>
    </w:p>
    <w:p w:rsidR="00F01C07" w:rsidRPr="00193115" w:rsidRDefault="00F01C07" w:rsidP="00F01C07">
      <w:pPr>
        <w:pStyle w:val="ListParagraph"/>
        <w:spacing w:after="120" w:line="240" w:lineRule="auto"/>
        <w:ind w:left="0"/>
        <w:contextualSpacing w:val="0"/>
        <w:jc w:val="center"/>
        <w:rPr>
          <w:rFonts w:ascii="Arial" w:hAnsi="Arial"/>
          <w:b/>
          <w:bCs/>
          <w:sz w:val="24"/>
          <w:szCs w:val="24"/>
        </w:rPr>
      </w:pPr>
      <w:r w:rsidRPr="00193115">
        <w:rPr>
          <w:rFonts w:ascii="Arial" w:hAnsi="Arial"/>
          <w:b/>
          <w:bCs/>
          <w:sz w:val="24"/>
          <w:szCs w:val="24"/>
        </w:rPr>
        <w:t>STATEMENT OF OBJECTS AND REASONS</w:t>
      </w:r>
    </w:p>
    <w:p w:rsidR="00F01C07" w:rsidRPr="00193115" w:rsidRDefault="00F01C07" w:rsidP="00F01C07">
      <w:pPr>
        <w:pStyle w:val="Title"/>
        <w:spacing w:before="0" w:beforeAutospacing="0" w:after="120" w:afterAutospacing="0"/>
        <w:jc w:val="both"/>
        <w:rPr>
          <w:rFonts w:ascii="Arial" w:hAnsi="Arial" w:cs="Arial"/>
          <w:spacing w:val="-4"/>
        </w:rPr>
      </w:pPr>
      <w:r w:rsidRPr="00193115">
        <w:rPr>
          <w:rFonts w:ascii="Arial" w:hAnsi="Arial" w:cs="Arial"/>
          <w:spacing w:val="-4"/>
        </w:rPr>
        <w:t xml:space="preserve">The Government intends to ensure delivery of inexpensive and expeditious justice by means of an alternative dispute resolution system for settlement of disputes, both civil and criminal, through an arbitrator, conciliator, mediator and evaluator without resort to formal system adjudication of disputes by the courts in the Province. </w:t>
      </w:r>
      <w:r w:rsidRPr="00193115">
        <w:rPr>
          <w:rFonts w:ascii="Arial" w:hAnsi="Arial" w:cs="Arial"/>
          <w:iCs/>
        </w:rPr>
        <w:t>The Alternative Dispute Resolution Centres are proposed for a productive and institutionalized system of alternative dispute resolution.</w:t>
      </w:r>
      <w:r w:rsidRPr="00193115">
        <w:rPr>
          <w:rFonts w:ascii="Arial" w:hAnsi="Arial" w:cs="Arial"/>
          <w:spacing w:val="-4"/>
        </w:rPr>
        <w:t xml:space="preserve"> Hence, this Bill.</w:t>
      </w:r>
    </w:p>
    <w:p w:rsidR="00F01C07" w:rsidRPr="00193115" w:rsidRDefault="00F01C07" w:rsidP="00F01C07">
      <w:pPr>
        <w:pStyle w:val="Title"/>
        <w:spacing w:before="0" w:beforeAutospacing="0" w:after="120" w:afterAutospacing="0"/>
        <w:jc w:val="both"/>
        <w:rPr>
          <w:rFonts w:ascii="Arial" w:hAnsi="Arial" w:cs="Arial"/>
          <w:spacing w:val="-4"/>
        </w:rPr>
      </w:pPr>
    </w:p>
    <w:p w:rsidR="00F01C07" w:rsidRPr="00193115" w:rsidRDefault="00F01C07" w:rsidP="00F01C07">
      <w:pPr>
        <w:spacing w:after="120"/>
        <w:jc w:val="right"/>
        <w:rPr>
          <w:rFonts w:cs="Arial"/>
          <w:b/>
          <w:bCs/>
        </w:rPr>
      </w:pPr>
    </w:p>
    <w:p w:rsidR="00F01C07" w:rsidRPr="00193115" w:rsidRDefault="00F01C07" w:rsidP="00F01C07">
      <w:pPr>
        <w:spacing w:after="120"/>
        <w:jc w:val="right"/>
        <w:rPr>
          <w:rFonts w:cs="Arial"/>
        </w:rPr>
      </w:pPr>
      <w:r w:rsidRPr="00193115">
        <w:rPr>
          <w:rFonts w:cs="Arial"/>
          <w:b/>
          <w:bCs/>
        </w:rPr>
        <w:t>MINISTER INCHARGE</w:t>
      </w:r>
    </w:p>
    <w:p w:rsidR="00857F5A" w:rsidRPr="00193115" w:rsidRDefault="00857F5A" w:rsidP="00857F5A">
      <w:pPr>
        <w:spacing w:after="120"/>
        <w:jc w:val="both"/>
        <w:rPr>
          <w:rFonts w:cs="Arial"/>
        </w:rPr>
      </w:pPr>
      <w:r w:rsidRPr="00193115">
        <w:rPr>
          <w:rFonts w:cs="Arial"/>
        </w:rPr>
        <w:t xml:space="preserve"> </w:t>
      </w:r>
    </w:p>
    <w:p w:rsidR="00FB3FD6" w:rsidRPr="00193115" w:rsidRDefault="00FB3FD6" w:rsidP="00857F5A">
      <w:pPr>
        <w:pBdr>
          <w:top w:val="single" w:sz="4" w:space="1" w:color="auto"/>
        </w:pBdr>
        <w:tabs>
          <w:tab w:val="center" w:pos="6840"/>
        </w:tabs>
        <w:ind w:left="10" w:right="29" w:hanging="10"/>
        <w:jc w:val="both"/>
        <w:rPr>
          <w:rFonts w:eastAsia="Verdana" w:cs="Arial"/>
          <w:b/>
          <w:color w:val="000000"/>
          <w:lang w:val="en-GB"/>
        </w:rPr>
      </w:pPr>
      <w:r w:rsidRPr="00193115">
        <w:rPr>
          <w:rFonts w:eastAsia="Verdana" w:cs="Arial"/>
          <w:b/>
          <w:color w:val="000000"/>
          <w:lang w:val="en-GB"/>
        </w:rPr>
        <w:t>Lahore:</w:t>
      </w:r>
      <w:r w:rsidRPr="00193115">
        <w:rPr>
          <w:rFonts w:eastAsia="Verdana" w:cs="Arial"/>
          <w:b/>
          <w:color w:val="000000"/>
          <w:lang w:val="en-GB"/>
        </w:rPr>
        <w:tab/>
        <w:t xml:space="preserve">MUHAMMAD KHAN BHATTI </w:t>
      </w:r>
    </w:p>
    <w:p w:rsidR="00FB3FD6" w:rsidRPr="00193115" w:rsidRDefault="00857F5A" w:rsidP="00857F5A">
      <w:pPr>
        <w:pBdr>
          <w:top w:val="single" w:sz="4" w:space="1" w:color="auto"/>
        </w:pBdr>
        <w:tabs>
          <w:tab w:val="center" w:pos="6750"/>
        </w:tabs>
        <w:ind w:left="10" w:right="29" w:hanging="10"/>
        <w:jc w:val="both"/>
        <w:rPr>
          <w:rFonts w:eastAsia="Calibri" w:cs="Arial"/>
        </w:rPr>
      </w:pPr>
      <w:r w:rsidRPr="00193115">
        <w:rPr>
          <w:rFonts w:eastAsia="Verdana" w:cs="Arial"/>
          <w:b/>
          <w:color w:val="000000"/>
          <w:lang w:val="en-GB"/>
        </w:rPr>
        <w:t>2</w:t>
      </w:r>
      <w:r w:rsidR="00FB3FD6" w:rsidRPr="00193115">
        <w:rPr>
          <w:rFonts w:eastAsia="Verdana" w:cs="Arial"/>
          <w:b/>
          <w:color w:val="000000"/>
          <w:lang w:val="en-GB"/>
        </w:rPr>
        <w:t xml:space="preserve">2 </w:t>
      </w:r>
      <w:r w:rsidRPr="00193115">
        <w:rPr>
          <w:rFonts w:eastAsia="Verdana" w:cs="Arial"/>
          <w:b/>
          <w:color w:val="000000"/>
          <w:lang w:val="en-GB"/>
        </w:rPr>
        <w:t>April</w:t>
      </w:r>
      <w:r w:rsidR="00FB3FD6" w:rsidRPr="00193115">
        <w:rPr>
          <w:rFonts w:eastAsia="Verdana" w:cs="Arial"/>
          <w:b/>
          <w:color w:val="000000"/>
          <w:lang w:val="en-GB"/>
        </w:rPr>
        <w:t xml:space="preserve"> 2019</w:t>
      </w:r>
      <w:r w:rsidR="00FB3FD6" w:rsidRPr="00193115">
        <w:rPr>
          <w:rFonts w:eastAsia="Verdana" w:cs="Arial"/>
          <w:b/>
          <w:color w:val="000000"/>
          <w:lang w:val="en-GB"/>
        </w:rPr>
        <w:tab/>
        <w:t>Secretary</w:t>
      </w:r>
    </w:p>
    <w:sectPr w:rsidR="00FB3FD6" w:rsidRPr="00193115" w:rsidSect="00C84639">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9B" w:rsidRDefault="00FD4E9B" w:rsidP="004644EF">
      <w:r>
        <w:separator/>
      </w:r>
    </w:p>
  </w:endnote>
  <w:endnote w:type="continuationSeparator" w:id="0">
    <w:p w:rsidR="00FD4E9B" w:rsidRDefault="00FD4E9B" w:rsidP="0046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fees Naskh">
    <w:altName w:val="Times New Roman"/>
    <w:charset w:val="00"/>
    <w:family w:val="auto"/>
    <w:pitch w:val="variable"/>
    <w:sig w:usb0="00000000" w:usb1="00000000" w:usb2="00000000" w:usb3="00000000" w:csb0="0000004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9B" w:rsidRDefault="00FD4E9B" w:rsidP="004644EF">
      <w:r>
        <w:separator/>
      </w:r>
    </w:p>
  </w:footnote>
  <w:footnote w:type="continuationSeparator" w:id="0">
    <w:p w:rsidR="00FD4E9B" w:rsidRDefault="00FD4E9B" w:rsidP="00464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FA" w:rsidRDefault="007523FA">
    <w:pPr>
      <w:pStyle w:val="Header"/>
      <w:jc w:val="center"/>
    </w:pPr>
    <w:r>
      <w:fldChar w:fldCharType="begin"/>
    </w:r>
    <w:r>
      <w:instrText xml:space="preserve"> PAGE   \* MERGEFORMAT </w:instrText>
    </w:r>
    <w:r>
      <w:fldChar w:fldCharType="separate"/>
    </w:r>
    <w:r w:rsidR="00037F0F">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A2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234E9"/>
    <w:multiLevelType w:val="hybridMultilevel"/>
    <w:tmpl w:val="E4681194"/>
    <w:lvl w:ilvl="0" w:tplc="854C3880">
      <w:start w:val="1"/>
      <w:numFmt w:val="lowerRoman"/>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1D02BB"/>
    <w:multiLevelType w:val="hybridMultilevel"/>
    <w:tmpl w:val="3B20A6A2"/>
    <w:lvl w:ilvl="0" w:tplc="1AE66A6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9042C1"/>
    <w:multiLevelType w:val="hybridMultilevel"/>
    <w:tmpl w:val="22BCD68A"/>
    <w:lvl w:ilvl="0" w:tplc="19B2441C">
      <w:start w:val="1"/>
      <w:numFmt w:val="lowerLetter"/>
      <w:lvlText w:val="(%1)"/>
      <w:lvlJc w:val="left"/>
      <w:pPr>
        <w:ind w:left="1440" w:hanging="360"/>
      </w:pPr>
      <w:rPr>
        <w:rFonts w:ascii="Verdana" w:eastAsia="Calibri" w:hAnsi="Verdana"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F4978BD"/>
    <w:multiLevelType w:val="hybridMultilevel"/>
    <w:tmpl w:val="94DAE9D8"/>
    <w:lvl w:ilvl="0" w:tplc="618220E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DD4009"/>
    <w:multiLevelType w:val="hybridMultilevel"/>
    <w:tmpl w:val="3E0A962C"/>
    <w:lvl w:ilvl="0" w:tplc="9202D3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036A92"/>
    <w:multiLevelType w:val="hybridMultilevel"/>
    <w:tmpl w:val="AB7C4F9C"/>
    <w:lvl w:ilvl="0" w:tplc="620AAB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27BED"/>
    <w:multiLevelType w:val="hybridMultilevel"/>
    <w:tmpl w:val="645A5D78"/>
    <w:lvl w:ilvl="0" w:tplc="2BC23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7F0292"/>
    <w:multiLevelType w:val="hybridMultilevel"/>
    <w:tmpl w:val="A4BEC11A"/>
    <w:lvl w:ilvl="0" w:tplc="9B60286E">
      <w:start w:val="1"/>
      <w:numFmt w:val="lowerLetter"/>
      <w:lvlText w:val="(%1)"/>
      <w:lvlJc w:val="left"/>
      <w:pPr>
        <w:ind w:left="1440" w:hanging="360"/>
      </w:pPr>
      <w:rPr>
        <w:rFonts w:ascii="Verdana" w:eastAsia="Calibri" w:hAnsi="Verdana"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DCE5A41"/>
    <w:multiLevelType w:val="hybridMultilevel"/>
    <w:tmpl w:val="2BF47AFE"/>
    <w:lvl w:ilvl="0" w:tplc="03484740">
      <w:start w:val="1"/>
      <w:numFmt w:val="lowerLetter"/>
      <w:lvlText w:val="(%1)"/>
      <w:lvlJc w:val="left"/>
      <w:pPr>
        <w:ind w:left="1440" w:hanging="360"/>
      </w:pPr>
      <w:rPr>
        <w:rFonts w:ascii="Verdana" w:eastAsia="Times New Roman" w:hAnsi="Verdana"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6394624"/>
    <w:multiLevelType w:val="hybridMultilevel"/>
    <w:tmpl w:val="4E1E351E"/>
    <w:lvl w:ilvl="0" w:tplc="5E16E9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8A0E1B"/>
    <w:multiLevelType w:val="hybridMultilevel"/>
    <w:tmpl w:val="0F3824C6"/>
    <w:lvl w:ilvl="0" w:tplc="CACC82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F634E"/>
    <w:multiLevelType w:val="hybridMultilevel"/>
    <w:tmpl w:val="3EA0D210"/>
    <w:lvl w:ilvl="0" w:tplc="3C8631A6">
      <w:start w:val="2"/>
      <w:numFmt w:val="decimal"/>
      <w:lvlText w:val="(%1)"/>
      <w:lvlJc w:val="left"/>
      <w:pPr>
        <w:tabs>
          <w:tab w:val="num" w:pos="1440"/>
        </w:tabs>
        <w:ind w:left="144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AE4064B"/>
    <w:multiLevelType w:val="hybridMultilevel"/>
    <w:tmpl w:val="59B61832"/>
    <w:lvl w:ilvl="0" w:tplc="1AE66A6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6B381D95"/>
    <w:multiLevelType w:val="hybridMultilevel"/>
    <w:tmpl w:val="0F3824C6"/>
    <w:lvl w:ilvl="0" w:tplc="CACC82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5650A"/>
    <w:multiLevelType w:val="hybridMultilevel"/>
    <w:tmpl w:val="CBFE74CC"/>
    <w:lvl w:ilvl="0" w:tplc="78FE0756">
      <w:start w:val="1"/>
      <w:numFmt w:val="lowerLetter"/>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82160E6"/>
    <w:multiLevelType w:val="hybridMultilevel"/>
    <w:tmpl w:val="0BA2AC52"/>
    <w:lvl w:ilvl="0" w:tplc="1FD49330">
      <w:start w:val="1"/>
      <w:numFmt w:val="decimal"/>
      <w:lvlText w:val="%1."/>
      <w:lvlJc w:val="left"/>
      <w:pPr>
        <w:ind w:left="360" w:hanging="360"/>
      </w:pPr>
      <w:rPr>
        <w:b/>
      </w:rPr>
    </w:lvl>
    <w:lvl w:ilvl="1" w:tplc="62A60E18">
      <w:start w:val="1"/>
      <w:numFmt w:val="lowerLetter"/>
      <w:lvlText w:val="(%2)"/>
      <w:lvlJc w:val="left"/>
      <w:pPr>
        <w:ind w:left="1440" w:hanging="360"/>
      </w:pPr>
      <w:rPr>
        <w:rFonts w:ascii="Verdana" w:eastAsia="Calibri" w:hAnsi="Verdana" w:cs="Arial"/>
      </w:rPr>
    </w:lvl>
    <w:lvl w:ilvl="2" w:tplc="8BC0C7D2">
      <w:start w:val="3"/>
      <w:numFmt w:val="decimal"/>
      <w:lvlText w:val="(%3)"/>
      <w:lvlJc w:val="left"/>
      <w:pPr>
        <w:ind w:left="2700" w:hanging="720"/>
      </w:pPr>
      <w:rPr>
        <w:rFonts w:hint="default"/>
      </w:rPr>
    </w:lvl>
    <w:lvl w:ilvl="3" w:tplc="6C764C94">
      <w:start w:val="1"/>
      <w:numFmt w:val="lowerRoman"/>
      <w:lvlText w:val="(%4)"/>
      <w:lvlJc w:val="left"/>
      <w:pPr>
        <w:ind w:left="2160" w:hanging="720"/>
      </w:pPr>
      <w:rPr>
        <w:rFonts w:ascii="Verdana" w:eastAsia="Calibri" w:hAnsi="Verdana" w:cs="Arial"/>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10"/>
  </w:num>
  <w:num w:numId="8">
    <w:abstractNumId w:val="7"/>
  </w:num>
  <w:num w:numId="9">
    <w:abstractNumId w:val="5"/>
  </w:num>
  <w:num w:numId="10">
    <w:abstractNumId w:val="11"/>
  </w:num>
  <w:num w:numId="11">
    <w:abstractNumId w:val="14"/>
  </w:num>
  <w:num w:numId="12">
    <w:abstractNumId w:val="2"/>
  </w:num>
  <w:num w:numId="13">
    <w:abstractNumId w:val="13"/>
  </w:num>
  <w:num w:numId="14">
    <w:abstractNumId w:val="9"/>
  </w:num>
  <w:num w:numId="15">
    <w:abstractNumId w:val="16"/>
  </w:num>
  <w:num w:numId="16">
    <w:abstractNumId w:val="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D2"/>
    <w:rsid w:val="000016DB"/>
    <w:rsid w:val="00001EB9"/>
    <w:rsid w:val="00004567"/>
    <w:rsid w:val="0000551E"/>
    <w:rsid w:val="00010F3B"/>
    <w:rsid w:val="0001147C"/>
    <w:rsid w:val="000127B1"/>
    <w:rsid w:val="00016035"/>
    <w:rsid w:val="000209AF"/>
    <w:rsid w:val="00022B11"/>
    <w:rsid w:val="00027795"/>
    <w:rsid w:val="00031FA6"/>
    <w:rsid w:val="000321EC"/>
    <w:rsid w:val="00033D23"/>
    <w:rsid w:val="000363BE"/>
    <w:rsid w:val="00037F0F"/>
    <w:rsid w:val="000402CB"/>
    <w:rsid w:val="000444A8"/>
    <w:rsid w:val="00051C31"/>
    <w:rsid w:val="00051E27"/>
    <w:rsid w:val="00054AE6"/>
    <w:rsid w:val="00055ADA"/>
    <w:rsid w:val="00056139"/>
    <w:rsid w:val="000576DA"/>
    <w:rsid w:val="00057B58"/>
    <w:rsid w:val="000634BA"/>
    <w:rsid w:val="00063E14"/>
    <w:rsid w:val="0006620F"/>
    <w:rsid w:val="00072522"/>
    <w:rsid w:val="0007387C"/>
    <w:rsid w:val="00080C1F"/>
    <w:rsid w:val="000820D8"/>
    <w:rsid w:val="000871F0"/>
    <w:rsid w:val="000935BB"/>
    <w:rsid w:val="00094183"/>
    <w:rsid w:val="00096D69"/>
    <w:rsid w:val="000A13F1"/>
    <w:rsid w:val="000A1E1D"/>
    <w:rsid w:val="000A1F6B"/>
    <w:rsid w:val="000A23A8"/>
    <w:rsid w:val="000A5876"/>
    <w:rsid w:val="000A5BBB"/>
    <w:rsid w:val="000B56FA"/>
    <w:rsid w:val="000C7677"/>
    <w:rsid w:val="000D0F3F"/>
    <w:rsid w:val="000D281B"/>
    <w:rsid w:val="000E177A"/>
    <w:rsid w:val="000E26FA"/>
    <w:rsid w:val="000F4DA3"/>
    <w:rsid w:val="000F5C8B"/>
    <w:rsid w:val="000F78F5"/>
    <w:rsid w:val="00110FE7"/>
    <w:rsid w:val="00112CF3"/>
    <w:rsid w:val="00114F45"/>
    <w:rsid w:val="0012319F"/>
    <w:rsid w:val="00123982"/>
    <w:rsid w:val="00132990"/>
    <w:rsid w:val="00136111"/>
    <w:rsid w:val="001377F9"/>
    <w:rsid w:val="00137B92"/>
    <w:rsid w:val="00142B4D"/>
    <w:rsid w:val="00146562"/>
    <w:rsid w:val="001469D7"/>
    <w:rsid w:val="001543CF"/>
    <w:rsid w:val="00155B04"/>
    <w:rsid w:val="001604C7"/>
    <w:rsid w:val="00161AE7"/>
    <w:rsid w:val="00162C20"/>
    <w:rsid w:val="00164A31"/>
    <w:rsid w:val="00172EF5"/>
    <w:rsid w:val="00175F63"/>
    <w:rsid w:val="001812BE"/>
    <w:rsid w:val="00182F27"/>
    <w:rsid w:val="001856C8"/>
    <w:rsid w:val="001866EE"/>
    <w:rsid w:val="00193115"/>
    <w:rsid w:val="001A2ABA"/>
    <w:rsid w:val="001B72CF"/>
    <w:rsid w:val="001C432A"/>
    <w:rsid w:val="001D03CE"/>
    <w:rsid w:val="001D056D"/>
    <w:rsid w:val="001D2856"/>
    <w:rsid w:val="001D66AE"/>
    <w:rsid w:val="001E3605"/>
    <w:rsid w:val="001F3045"/>
    <w:rsid w:val="001F32E5"/>
    <w:rsid w:val="001F4741"/>
    <w:rsid w:val="001F66AE"/>
    <w:rsid w:val="00200CB5"/>
    <w:rsid w:val="002012F1"/>
    <w:rsid w:val="002036C5"/>
    <w:rsid w:val="00207CCB"/>
    <w:rsid w:val="00212C99"/>
    <w:rsid w:val="002164F8"/>
    <w:rsid w:val="00217BAE"/>
    <w:rsid w:val="0022025C"/>
    <w:rsid w:val="002204FC"/>
    <w:rsid w:val="0022142C"/>
    <w:rsid w:val="00224938"/>
    <w:rsid w:val="002342D1"/>
    <w:rsid w:val="00235858"/>
    <w:rsid w:val="00236A20"/>
    <w:rsid w:val="00240852"/>
    <w:rsid w:val="00243C83"/>
    <w:rsid w:val="00247A6D"/>
    <w:rsid w:val="002510DB"/>
    <w:rsid w:val="002516E8"/>
    <w:rsid w:val="00257B20"/>
    <w:rsid w:val="00257C44"/>
    <w:rsid w:val="00265CC9"/>
    <w:rsid w:val="002664EE"/>
    <w:rsid w:val="00276243"/>
    <w:rsid w:val="00282404"/>
    <w:rsid w:val="002853D7"/>
    <w:rsid w:val="002879B4"/>
    <w:rsid w:val="002939E6"/>
    <w:rsid w:val="00293D65"/>
    <w:rsid w:val="00294460"/>
    <w:rsid w:val="00295408"/>
    <w:rsid w:val="00295B46"/>
    <w:rsid w:val="00297AF8"/>
    <w:rsid w:val="002A13DB"/>
    <w:rsid w:val="002A2F43"/>
    <w:rsid w:val="002A3C00"/>
    <w:rsid w:val="002A4678"/>
    <w:rsid w:val="002A6EFB"/>
    <w:rsid w:val="002B070B"/>
    <w:rsid w:val="002B2038"/>
    <w:rsid w:val="002B245B"/>
    <w:rsid w:val="002B2998"/>
    <w:rsid w:val="002B3ED4"/>
    <w:rsid w:val="002B503B"/>
    <w:rsid w:val="002B5BE9"/>
    <w:rsid w:val="002B7D9A"/>
    <w:rsid w:val="002C1F50"/>
    <w:rsid w:val="002C285E"/>
    <w:rsid w:val="002D1DEE"/>
    <w:rsid w:val="002D6A92"/>
    <w:rsid w:val="002E2706"/>
    <w:rsid w:val="002E49D3"/>
    <w:rsid w:val="002E540E"/>
    <w:rsid w:val="002E6CB3"/>
    <w:rsid w:val="002E7146"/>
    <w:rsid w:val="002F0C56"/>
    <w:rsid w:val="002F1406"/>
    <w:rsid w:val="002F1E84"/>
    <w:rsid w:val="002F2D8B"/>
    <w:rsid w:val="002F5154"/>
    <w:rsid w:val="002F5D55"/>
    <w:rsid w:val="002F66E2"/>
    <w:rsid w:val="00301758"/>
    <w:rsid w:val="003075AB"/>
    <w:rsid w:val="0031290E"/>
    <w:rsid w:val="00314FF2"/>
    <w:rsid w:val="00324DD9"/>
    <w:rsid w:val="00325450"/>
    <w:rsid w:val="00325C9F"/>
    <w:rsid w:val="00330C91"/>
    <w:rsid w:val="00331A8B"/>
    <w:rsid w:val="003366F0"/>
    <w:rsid w:val="003447C7"/>
    <w:rsid w:val="00345481"/>
    <w:rsid w:val="00353893"/>
    <w:rsid w:val="00356FCC"/>
    <w:rsid w:val="003620C3"/>
    <w:rsid w:val="00374D14"/>
    <w:rsid w:val="00376475"/>
    <w:rsid w:val="003803A5"/>
    <w:rsid w:val="00382C3C"/>
    <w:rsid w:val="0038742D"/>
    <w:rsid w:val="00391769"/>
    <w:rsid w:val="003A2E67"/>
    <w:rsid w:val="003A3015"/>
    <w:rsid w:val="003A60FB"/>
    <w:rsid w:val="003A651C"/>
    <w:rsid w:val="003A6F2C"/>
    <w:rsid w:val="003B1AA5"/>
    <w:rsid w:val="003B3744"/>
    <w:rsid w:val="003B5693"/>
    <w:rsid w:val="003B7009"/>
    <w:rsid w:val="003D324D"/>
    <w:rsid w:val="003D40B7"/>
    <w:rsid w:val="003D43F1"/>
    <w:rsid w:val="003E2953"/>
    <w:rsid w:val="003E4884"/>
    <w:rsid w:val="003F464C"/>
    <w:rsid w:val="003F5E6A"/>
    <w:rsid w:val="003F69AD"/>
    <w:rsid w:val="00400035"/>
    <w:rsid w:val="00403C9E"/>
    <w:rsid w:val="004040FF"/>
    <w:rsid w:val="004166F1"/>
    <w:rsid w:val="00416DFD"/>
    <w:rsid w:val="00420B37"/>
    <w:rsid w:val="00423EEE"/>
    <w:rsid w:val="00426800"/>
    <w:rsid w:val="004315D4"/>
    <w:rsid w:val="00435ED0"/>
    <w:rsid w:val="004401F8"/>
    <w:rsid w:val="00441518"/>
    <w:rsid w:val="0044245B"/>
    <w:rsid w:val="004479C2"/>
    <w:rsid w:val="00453377"/>
    <w:rsid w:val="004634A8"/>
    <w:rsid w:val="004644EF"/>
    <w:rsid w:val="0046710F"/>
    <w:rsid w:val="004717EB"/>
    <w:rsid w:val="004749A6"/>
    <w:rsid w:val="004777D7"/>
    <w:rsid w:val="00480045"/>
    <w:rsid w:val="0048270B"/>
    <w:rsid w:val="004854FA"/>
    <w:rsid w:val="00491E6F"/>
    <w:rsid w:val="00497D7E"/>
    <w:rsid w:val="004A3257"/>
    <w:rsid w:val="004A4E93"/>
    <w:rsid w:val="004A6B1F"/>
    <w:rsid w:val="004B6344"/>
    <w:rsid w:val="004B6CA3"/>
    <w:rsid w:val="004B7BCA"/>
    <w:rsid w:val="004C0AD4"/>
    <w:rsid w:val="004C2475"/>
    <w:rsid w:val="004C32B5"/>
    <w:rsid w:val="004C39D4"/>
    <w:rsid w:val="004D179D"/>
    <w:rsid w:val="004D3022"/>
    <w:rsid w:val="004E0F9D"/>
    <w:rsid w:val="004E2EEC"/>
    <w:rsid w:val="004E3359"/>
    <w:rsid w:val="004E3F9D"/>
    <w:rsid w:val="004E7122"/>
    <w:rsid w:val="004F1412"/>
    <w:rsid w:val="004F69D3"/>
    <w:rsid w:val="00505084"/>
    <w:rsid w:val="005102CF"/>
    <w:rsid w:val="00516FDF"/>
    <w:rsid w:val="00517DB2"/>
    <w:rsid w:val="005234F2"/>
    <w:rsid w:val="00523F1D"/>
    <w:rsid w:val="00527F4A"/>
    <w:rsid w:val="00531BE1"/>
    <w:rsid w:val="00532A21"/>
    <w:rsid w:val="00535366"/>
    <w:rsid w:val="00537B23"/>
    <w:rsid w:val="00547C3B"/>
    <w:rsid w:val="005572CC"/>
    <w:rsid w:val="005622D2"/>
    <w:rsid w:val="0056413C"/>
    <w:rsid w:val="00565645"/>
    <w:rsid w:val="0056611A"/>
    <w:rsid w:val="005667DA"/>
    <w:rsid w:val="0057171A"/>
    <w:rsid w:val="00573A3F"/>
    <w:rsid w:val="00575D99"/>
    <w:rsid w:val="0057641B"/>
    <w:rsid w:val="00582FA0"/>
    <w:rsid w:val="005875E3"/>
    <w:rsid w:val="00591C8B"/>
    <w:rsid w:val="00593686"/>
    <w:rsid w:val="00593ADF"/>
    <w:rsid w:val="005941AB"/>
    <w:rsid w:val="00594C15"/>
    <w:rsid w:val="00594C91"/>
    <w:rsid w:val="00594C94"/>
    <w:rsid w:val="00596299"/>
    <w:rsid w:val="00596A42"/>
    <w:rsid w:val="00596F7A"/>
    <w:rsid w:val="005A0FF4"/>
    <w:rsid w:val="005A33F9"/>
    <w:rsid w:val="005A56CB"/>
    <w:rsid w:val="005B1ECB"/>
    <w:rsid w:val="005B2FEC"/>
    <w:rsid w:val="005B3EDD"/>
    <w:rsid w:val="005B538B"/>
    <w:rsid w:val="005B759E"/>
    <w:rsid w:val="005C3693"/>
    <w:rsid w:val="005D2236"/>
    <w:rsid w:val="005D2CEF"/>
    <w:rsid w:val="005E0111"/>
    <w:rsid w:val="005E2952"/>
    <w:rsid w:val="005E31EB"/>
    <w:rsid w:val="005E45A8"/>
    <w:rsid w:val="005E6B2B"/>
    <w:rsid w:val="005F455F"/>
    <w:rsid w:val="005F493E"/>
    <w:rsid w:val="005F61C6"/>
    <w:rsid w:val="005F6ACE"/>
    <w:rsid w:val="006022BB"/>
    <w:rsid w:val="00606686"/>
    <w:rsid w:val="0061022C"/>
    <w:rsid w:val="00621D16"/>
    <w:rsid w:val="00623941"/>
    <w:rsid w:val="00631A54"/>
    <w:rsid w:val="00631A9D"/>
    <w:rsid w:val="00632C44"/>
    <w:rsid w:val="0065037C"/>
    <w:rsid w:val="00650C3A"/>
    <w:rsid w:val="0065464B"/>
    <w:rsid w:val="00655BE2"/>
    <w:rsid w:val="00656CF6"/>
    <w:rsid w:val="006613F8"/>
    <w:rsid w:val="0066358A"/>
    <w:rsid w:val="00665794"/>
    <w:rsid w:val="00672783"/>
    <w:rsid w:val="006750F0"/>
    <w:rsid w:val="006831E7"/>
    <w:rsid w:val="00683CCD"/>
    <w:rsid w:val="0068463D"/>
    <w:rsid w:val="006860B8"/>
    <w:rsid w:val="006870E1"/>
    <w:rsid w:val="006902C8"/>
    <w:rsid w:val="00693EC2"/>
    <w:rsid w:val="006944EA"/>
    <w:rsid w:val="006A153E"/>
    <w:rsid w:val="006A2C0F"/>
    <w:rsid w:val="006A7780"/>
    <w:rsid w:val="006B02A3"/>
    <w:rsid w:val="006C00F5"/>
    <w:rsid w:val="006C12AB"/>
    <w:rsid w:val="006C47F8"/>
    <w:rsid w:val="006C71ED"/>
    <w:rsid w:val="006E1251"/>
    <w:rsid w:val="006E2B58"/>
    <w:rsid w:val="006E2D2C"/>
    <w:rsid w:val="006E4FC4"/>
    <w:rsid w:val="006E5BA3"/>
    <w:rsid w:val="006F60B8"/>
    <w:rsid w:val="006F7479"/>
    <w:rsid w:val="0070046D"/>
    <w:rsid w:val="00702EA1"/>
    <w:rsid w:val="0070753F"/>
    <w:rsid w:val="0070793B"/>
    <w:rsid w:val="007102C2"/>
    <w:rsid w:val="00710DFB"/>
    <w:rsid w:val="00720DAE"/>
    <w:rsid w:val="00721958"/>
    <w:rsid w:val="007232DA"/>
    <w:rsid w:val="00731277"/>
    <w:rsid w:val="0074056C"/>
    <w:rsid w:val="00742981"/>
    <w:rsid w:val="007511B9"/>
    <w:rsid w:val="007523FA"/>
    <w:rsid w:val="0075318F"/>
    <w:rsid w:val="00757EBD"/>
    <w:rsid w:val="00760581"/>
    <w:rsid w:val="007664E9"/>
    <w:rsid w:val="00766FCE"/>
    <w:rsid w:val="007672B8"/>
    <w:rsid w:val="00767361"/>
    <w:rsid w:val="00772F8D"/>
    <w:rsid w:val="00780F82"/>
    <w:rsid w:val="00781ADA"/>
    <w:rsid w:val="007833C6"/>
    <w:rsid w:val="00791BD4"/>
    <w:rsid w:val="00793942"/>
    <w:rsid w:val="00793A74"/>
    <w:rsid w:val="00795087"/>
    <w:rsid w:val="00795687"/>
    <w:rsid w:val="007956E1"/>
    <w:rsid w:val="007971A9"/>
    <w:rsid w:val="007A1E34"/>
    <w:rsid w:val="007A5CDC"/>
    <w:rsid w:val="007B03FE"/>
    <w:rsid w:val="007B14CB"/>
    <w:rsid w:val="007B1CB0"/>
    <w:rsid w:val="007C045C"/>
    <w:rsid w:val="007C1E28"/>
    <w:rsid w:val="007C7FF5"/>
    <w:rsid w:val="007D45BB"/>
    <w:rsid w:val="007D7995"/>
    <w:rsid w:val="007E5651"/>
    <w:rsid w:val="007E7E7F"/>
    <w:rsid w:val="007F1145"/>
    <w:rsid w:val="007F4D9C"/>
    <w:rsid w:val="007F6B23"/>
    <w:rsid w:val="00804ED0"/>
    <w:rsid w:val="008054C4"/>
    <w:rsid w:val="00805D4F"/>
    <w:rsid w:val="00805E6B"/>
    <w:rsid w:val="00815112"/>
    <w:rsid w:val="00822445"/>
    <w:rsid w:val="0082247B"/>
    <w:rsid w:val="00826BA3"/>
    <w:rsid w:val="00827939"/>
    <w:rsid w:val="00830996"/>
    <w:rsid w:val="00830AFD"/>
    <w:rsid w:val="0083196D"/>
    <w:rsid w:val="00832E65"/>
    <w:rsid w:val="008335B8"/>
    <w:rsid w:val="008336CF"/>
    <w:rsid w:val="008346CF"/>
    <w:rsid w:val="00835E48"/>
    <w:rsid w:val="00843722"/>
    <w:rsid w:val="0085239D"/>
    <w:rsid w:val="00853F44"/>
    <w:rsid w:val="00854BF8"/>
    <w:rsid w:val="00856879"/>
    <w:rsid w:val="00857F5A"/>
    <w:rsid w:val="008663DB"/>
    <w:rsid w:val="00870FAD"/>
    <w:rsid w:val="00872029"/>
    <w:rsid w:val="00873F26"/>
    <w:rsid w:val="0088004B"/>
    <w:rsid w:val="00882E57"/>
    <w:rsid w:val="008875AE"/>
    <w:rsid w:val="00892C31"/>
    <w:rsid w:val="008943B7"/>
    <w:rsid w:val="008B0794"/>
    <w:rsid w:val="008B3D7F"/>
    <w:rsid w:val="008B654C"/>
    <w:rsid w:val="008B6683"/>
    <w:rsid w:val="008B6B8E"/>
    <w:rsid w:val="008B7900"/>
    <w:rsid w:val="008C2C54"/>
    <w:rsid w:val="008C7583"/>
    <w:rsid w:val="008D0421"/>
    <w:rsid w:val="008D2CDB"/>
    <w:rsid w:val="008D34BF"/>
    <w:rsid w:val="008D6F63"/>
    <w:rsid w:val="008D7E4B"/>
    <w:rsid w:val="008E218A"/>
    <w:rsid w:val="008F04A5"/>
    <w:rsid w:val="008F0BF6"/>
    <w:rsid w:val="008F0C2D"/>
    <w:rsid w:val="008F0EE5"/>
    <w:rsid w:val="008F25FB"/>
    <w:rsid w:val="008F5DE1"/>
    <w:rsid w:val="00902858"/>
    <w:rsid w:val="009037CE"/>
    <w:rsid w:val="0091053F"/>
    <w:rsid w:val="009139E7"/>
    <w:rsid w:val="009200F3"/>
    <w:rsid w:val="0092142B"/>
    <w:rsid w:val="00924CB8"/>
    <w:rsid w:val="0093091D"/>
    <w:rsid w:val="00931546"/>
    <w:rsid w:val="009317D7"/>
    <w:rsid w:val="00940261"/>
    <w:rsid w:val="00941C98"/>
    <w:rsid w:val="00944514"/>
    <w:rsid w:val="009609D4"/>
    <w:rsid w:val="00962826"/>
    <w:rsid w:val="00967BA0"/>
    <w:rsid w:val="00970FA7"/>
    <w:rsid w:val="00971CB0"/>
    <w:rsid w:val="009774C8"/>
    <w:rsid w:val="00980955"/>
    <w:rsid w:val="009818B8"/>
    <w:rsid w:val="00996034"/>
    <w:rsid w:val="00996FFC"/>
    <w:rsid w:val="009972DA"/>
    <w:rsid w:val="009A0A93"/>
    <w:rsid w:val="009A2397"/>
    <w:rsid w:val="009A43C1"/>
    <w:rsid w:val="009B5B3B"/>
    <w:rsid w:val="009B68F8"/>
    <w:rsid w:val="009C16A2"/>
    <w:rsid w:val="009C1CA6"/>
    <w:rsid w:val="009C3D20"/>
    <w:rsid w:val="009C5265"/>
    <w:rsid w:val="009D155E"/>
    <w:rsid w:val="009D7F8E"/>
    <w:rsid w:val="009E08F7"/>
    <w:rsid w:val="009E126C"/>
    <w:rsid w:val="009E21A9"/>
    <w:rsid w:val="009E6F68"/>
    <w:rsid w:val="009E74A5"/>
    <w:rsid w:val="009F249D"/>
    <w:rsid w:val="009F724C"/>
    <w:rsid w:val="00A0096A"/>
    <w:rsid w:val="00A052A3"/>
    <w:rsid w:val="00A10855"/>
    <w:rsid w:val="00A21250"/>
    <w:rsid w:val="00A25ADA"/>
    <w:rsid w:val="00A26E17"/>
    <w:rsid w:val="00A312E5"/>
    <w:rsid w:val="00A33BAA"/>
    <w:rsid w:val="00A35D69"/>
    <w:rsid w:val="00A372E3"/>
    <w:rsid w:val="00A41F1B"/>
    <w:rsid w:val="00A47755"/>
    <w:rsid w:val="00A56A4F"/>
    <w:rsid w:val="00A570DD"/>
    <w:rsid w:val="00A61BC4"/>
    <w:rsid w:val="00A62B09"/>
    <w:rsid w:val="00A665B8"/>
    <w:rsid w:val="00A66CBE"/>
    <w:rsid w:val="00A71406"/>
    <w:rsid w:val="00A747F5"/>
    <w:rsid w:val="00A775E3"/>
    <w:rsid w:val="00A77C6D"/>
    <w:rsid w:val="00A8066C"/>
    <w:rsid w:val="00A81CA3"/>
    <w:rsid w:val="00A8266D"/>
    <w:rsid w:val="00A90096"/>
    <w:rsid w:val="00A919DD"/>
    <w:rsid w:val="00A93B3C"/>
    <w:rsid w:val="00A94603"/>
    <w:rsid w:val="00A957FE"/>
    <w:rsid w:val="00A95CAC"/>
    <w:rsid w:val="00A96358"/>
    <w:rsid w:val="00AA08FF"/>
    <w:rsid w:val="00AA2BB6"/>
    <w:rsid w:val="00AA5737"/>
    <w:rsid w:val="00AB1072"/>
    <w:rsid w:val="00AB4743"/>
    <w:rsid w:val="00AC03F7"/>
    <w:rsid w:val="00AC0D0D"/>
    <w:rsid w:val="00AC2DC1"/>
    <w:rsid w:val="00AC65F5"/>
    <w:rsid w:val="00AD0319"/>
    <w:rsid w:val="00AD5CA7"/>
    <w:rsid w:val="00AD6602"/>
    <w:rsid w:val="00AD6EDD"/>
    <w:rsid w:val="00AE01B2"/>
    <w:rsid w:val="00AE4972"/>
    <w:rsid w:val="00AE63AD"/>
    <w:rsid w:val="00AE6666"/>
    <w:rsid w:val="00AF13F7"/>
    <w:rsid w:val="00AF6964"/>
    <w:rsid w:val="00B03D86"/>
    <w:rsid w:val="00B16562"/>
    <w:rsid w:val="00B22F93"/>
    <w:rsid w:val="00B230DD"/>
    <w:rsid w:val="00B27169"/>
    <w:rsid w:val="00B31244"/>
    <w:rsid w:val="00B406F5"/>
    <w:rsid w:val="00B421FD"/>
    <w:rsid w:val="00B430DB"/>
    <w:rsid w:val="00B43DD2"/>
    <w:rsid w:val="00B51552"/>
    <w:rsid w:val="00B51B6E"/>
    <w:rsid w:val="00B51F36"/>
    <w:rsid w:val="00B529A7"/>
    <w:rsid w:val="00B57974"/>
    <w:rsid w:val="00B62622"/>
    <w:rsid w:val="00B63DBB"/>
    <w:rsid w:val="00B71520"/>
    <w:rsid w:val="00B754AD"/>
    <w:rsid w:val="00B77964"/>
    <w:rsid w:val="00B80578"/>
    <w:rsid w:val="00B83DE6"/>
    <w:rsid w:val="00B93F33"/>
    <w:rsid w:val="00B94A61"/>
    <w:rsid w:val="00BA3EBC"/>
    <w:rsid w:val="00BA660E"/>
    <w:rsid w:val="00BB0687"/>
    <w:rsid w:val="00BB6DCA"/>
    <w:rsid w:val="00BD0D05"/>
    <w:rsid w:val="00BD1819"/>
    <w:rsid w:val="00BD3BED"/>
    <w:rsid w:val="00BE0C3F"/>
    <w:rsid w:val="00BE2AA0"/>
    <w:rsid w:val="00BE5C08"/>
    <w:rsid w:val="00BE6085"/>
    <w:rsid w:val="00BE645A"/>
    <w:rsid w:val="00BF1C4F"/>
    <w:rsid w:val="00BF2151"/>
    <w:rsid w:val="00BF5BE4"/>
    <w:rsid w:val="00BF6DC1"/>
    <w:rsid w:val="00C03BC5"/>
    <w:rsid w:val="00C04250"/>
    <w:rsid w:val="00C1132D"/>
    <w:rsid w:val="00C117C4"/>
    <w:rsid w:val="00C13546"/>
    <w:rsid w:val="00C13D13"/>
    <w:rsid w:val="00C15D20"/>
    <w:rsid w:val="00C16403"/>
    <w:rsid w:val="00C2080C"/>
    <w:rsid w:val="00C20CE8"/>
    <w:rsid w:val="00C2303F"/>
    <w:rsid w:val="00C33539"/>
    <w:rsid w:val="00C33A62"/>
    <w:rsid w:val="00C36ED8"/>
    <w:rsid w:val="00C4543B"/>
    <w:rsid w:val="00C55314"/>
    <w:rsid w:val="00C55BBD"/>
    <w:rsid w:val="00C56AC3"/>
    <w:rsid w:val="00C6035D"/>
    <w:rsid w:val="00C614BF"/>
    <w:rsid w:val="00C62F45"/>
    <w:rsid w:val="00C6665A"/>
    <w:rsid w:val="00C6727D"/>
    <w:rsid w:val="00C6744F"/>
    <w:rsid w:val="00C675A3"/>
    <w:rsid w:val="00C677E3"/>
    <w:rsid w:val="00C7185D"/>
    <w:rsid w:val="00C72F7A"/>
    <w:rsid w:val="00C82A4E"/>
    <w:rsid w:val="00C84639"/>
    <w:rsid w:val="00C84E5C"/>
    <w:rsid w:val="00C85605"/>
    <w:rsid w:val="00C8626D"/>
    <w:rsid w:val="00C879EB"/>
    <w:rsid w:val="00C932FF"/>
    <w:rsid w:val="00C9543E"/>
    <w:rsid w:val="00C9557B"/>
    <w:rsid w:val="00C9648E"/>
    <w:rsid w:val="00CA08F7"/>
    <w:rsid w:val="00CA1B95"/>
    <w:rsid w:val="00CA768C"/>
    <w:rsid w:val="00CA7F3C"/>
    <w:rsid w:val="00CB0A09"/>
    <w:rsid w:val="00CB721C"/>
    <w:rsid w:val="00CC149B"/>
    <w:rsid w:val="00CC41FD"/>
    <w:rsid w:val="00CC5025"/>
    <w:rsid w:val="00CC67F4"/>
    <w:rsid w:val="00CC7663"/>
    <w:rsid w:val="00CD0E7C"/>
    <w:rsid w:val="00CD4D0D"/>
    <w:rsid w:val="00CD5C57"/>
    <w:rsid w:val="00CD6805"/>
    <w:rsid w:val="00CE22CE"/>
    <w:rsid w:val="00CE543C"/>
    <w:rsid w:val="00CE597E"/>
    <w:rsid w:val="00CF16FC"/>
    <w:rsid w:val="00CF180A"/>
    <w:rsid w:val="00CF1F79"/>
    <w:rsid w:val="00CF3BF5"/>
    <w:rsid w:val="00D0284F"/>
    <w:rsid w:val="00D05915"/>
    <w:rsid w:val="00D108A5"/>
    <w:rsid w:val="00D10AA4"/>
    <w:rsid w:val="00D12919"/>
    <w:rsid w:val="00D21E1D"/>
    <w:rsid w:val="00D24280"/>
    <w:rsid w:val="00D25530"/>
    <w:rsid w:val="00D257E8"/>
    <w:rsid w:val="00D2784C"/>
    <w:rsid w:val="00D27E50"/>
    <w:rsid w:val="00D32409"/>
    <w:rsid w:val="00D32C47"/>
    <w:rsid w:val="00D35A1B"/>
    <w:rsid w:val="00D42394"/>
    <w:rsid w:val="00D45E4E"/>
    <w:rsid w:val="00D45F5D"/>
    <w:rsid w:val="00D51547"/>
    <w:rsid w:val="00D52BE5"/>
    <w:rsid w:val="00D534BB"/>
    <w:rsid w:val="00D54790"/>
    <w:rsid w:val="00D604C4"/>
    <w:rsid w:val="00D60AF7"/>
    <w:rsid w:val="00D63483"/>
    <w:rsid w:val="00D63B11"/>
    <w:rsid w:val="00D6431C"/>
    <w:rsid w:val="00D66F39"/>
    <w:rsid w:val="00D72FB9"/>
    <w:rsid w:val="00D75428"/>
    <w:rsid w:val="00D77226"/>
    <w:rsid w:val="00D83D28"/>
    <w:rsid w:val="00D85568"/>
    <w:rsid w:val="00D85E7A"/>
    <w:rsid w:val="00D86796"/>
    <w:rsid w:val="00D86EFD"/>
    <w:rsid w:val="00D92346"/>
    <w:rsid w:val="00DA3BA9"/>
    <w:rsid w:val="00DB0444"/>
    <w:rsid w:val="00DB1AC7"/>
    <w:rsid w:val="00DB282C"/>
    <w:rsid w:val="00DC0260"/>
    <w:rsid w:val="00DC55AF"/>
    <w:rsid w:val="00DC75CE"/>
    <w:rsid w:val="00DD0344"/>
    <w:rsid w:val="00DD0554"/>
    <w:rsid w:val="00DD139D"/>
    <w:rsid w:val="00DD557A"/>
    <w:rsid w:val="00DD590C"/>
    <w:rsid w:val="00DD61AC"/>
    <w:rsid w:val="00DE2763"/>
    <w:rsid w:val="00DE2D05"/>
    <w:rsid w:val="00DF60D6"/>
    <w:rsid w:val="00E01EEF"/>
    <w:rsid w:val="00E02BDB"/>
    <w:rsid w:val="00E02D09"/>
    <w:rsid w:val="00E05FF1"/>
    <w:rsid w:val="00E06704"/>
    <w:rsid w:val="00E10CE8"/>
    <w:rsid w:val="00E10F94"/>
    <w:rsid w:val="00E13AE7"/>
    <w:rsid w:val="00E224BC"/>
    <w:rsid w:val="00E26AE5"/>
    <w:rsid w:val="00E425F3"/>
    <w:rsid w:val="00E4309E"/>
    <w:rsid w:val="00E461C5"/>
    <w:rsid w:val="00E46769"/>
    <w:rsid w:val="00E57F14"/>
    <w:rsid w:val="00E607D5"/>
    <w:rsid w:val="00E63829"/>
    <w:rsid w:val="00E67565"/>
    <w:rsid w:val="00E85AB4"/>
    <w:rsid w:val="00E93603"/>
    <w:rsid w:val="00EA116C"/>
    <w:rsid w:val="00EA1921"/>
    <w:rsid w:val="00EA2793"/>
    <w:rsid w:val="00EB34A3"/>
    <w:rsid w:val="00EC205F"/>
    <w:rsid w:val="00ED0457"/>
    <w:rsid w:val="00ED1A85"/>
    <w:rsid w:val="00ED5FF5"/>
    <w:rsid w:val="00ED695E"/>
    <w:rsid w:val="00ED7D35"/>
    <w:rsid w:val="00EE209C"/>
    <w:rsid w:val="00EE416B"/>
    <w:rsid w:val="00EE7710"/>
    <w:rsid w:val="00EF03EC"/>
    <w:rsid w:val="00EF058F"/>
    <w:rsid w:val="00EF7402"/>
    <w:rsid w:val="00F00E3F"/>
    <w:rsid w:val="00F01AA7"/>
    <w:rsid w:val="00F01C07"/>
    <w:rsid w:val="00F01DFE"/>
    <w:rsid w:val="00F11D8F"/>
    <w:rsid w:val="00F141A6"/>
    <w:rsid w:val="00F21DBF"/>
    <w:rsid w:val="00F221A6"/>
    <w:rsid w:val="00F22258"/>
    <w:rsid w:val="00F22518"/>
    <w:rsid w:val="00F23013"/>
    <w:rsid w:val="00F235BC"/>
    <w:rsid w:val="00F26107"/>
    <w:rsid w:val="00F3317F"/>
    <w:rsid w:val="00F355DF"/>
    <w:rsid w:val="00F35892"/>
    <w:rsid w:val="00F3624A"/>
    <w:rsid w:val="00F40DCF"/>
    <w:rsid w:val="00F4442B"/>
    <w:rsid w:val="00F44CCF"/>
    <w:rsid w:val="00F47819"/>
    <w:rsid w:val="00F47DE9"/>
    <w:rsid w:val="00F53224"/>
    <w:rsid w:val="00F64DEB"/>
    <w:rsid w:val="00F67975"/>
    <w:rsid w:val="00F716E7"/>
    <w:rsid w:val="00F7250C"/>
    <w:rsid w:val="00F72924"/>
    <w:rsid w:val="00F73027"/>
    <w:rsid w:val="00F75B73"/>
    <w:rsid w:val="00F7755A"/>
    <w:rsid w:val="00F80CBA"/>
    <w:rsid w:val="00F83A7E"/>
    <w:rsid w:val="00F85FAB"/>
    <w:rsid w:val="00F8692C"/>
    <w:rsid w:val="00F90718"/>
    <w:rsid w:val="00F910DE"/>
    <w:rsid w:val="00F94BC7"/>
    <w:rsid w:val="00FA2C2D"/>
    <w:rsid w:val="00FA2DB8"/>
    <w:rsid w:val="00FA7424"/>
    <w:rsid w:val="00FB1AA4"/>
    <w:rsid w:val="00FB3FD6"/>
    <w:rsid w:val="00FD0E54"/>
    <w:rsid w:val="00FD4E9B"/>
    <w:rsid w:val="00FD576B"/>
    <w:rsid w:val="00FD6440"/>
    <w:rsid w:val="00FD6B20"/>
    <w:rsid w:val="00FE0C1E"/>
    <w:rsid w:val="00FE2EFF"/>
    <w:rsid w:val="00FE669A"/>
    <w:rsid w:val="00FE7CE8"/>
    <w:rsid w:val="00FF5578"/>
    <w:rsid w:val="00FF610C"/>
    <w:rsid w:val="00FF7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A"/>
    <w:rPr>
      <w:rFonts w:ascii="Arial" w:hAnsi="Arial" w:cs="Nafees Naskh"/>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imes New Roman"/>
      <w:sz w:val="16"/>
      <w:szCs w:val="16"/>
      <w:lang/>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873F26"/>
    <w:pPr>
      <w:ind w:left="900" w:hanging="360"/>
      <w:jc w:val="both"/>
    </w:pPr>
    <w:rPr>
      <w:rFonts w:cs="Times New Roman"/>
      <w:lang w:val="en-GB" w:bidi="ur-PK"/>
    </w:rPr>
  </w:style>
  <w:style w:type="character" w:customStyle="1" w:styleId="BodyTextIndent2Char">
    <w:name w:val="Body Text Indent 2 Char"/>
    <w:link w:val="BodyTextIndent2"/>
    <w:rsid w:val="00873F26"/>
    <w:rPr>
      <w:rFonts w:ascii="Arial" w:hAnsi="Arial"/>
      <w:sz w:val="24"/>
      <w:szCs w:val="24"/>
      <w:lang w:val="en-GB" w:bidi="ur-PK"/>
    </w:rPr>
  </w:style>
  <w:style w:type="paragraph" w:styleId="Header">
    <w:name w:val="header"/>
    <w:basedOn w:val="Normal"/>
    <w:link w:val="HeaderChar"/>
    <w:uiPriority w:val="99"/>
    <w:unhideWhenUsed/>
    <w:rsid w:val="004644EF"/>
    <w:pPr>
      <w:tabs>
        <w:tab w:val="center" w:pos="4680"/>
        <w:tab w:val="right" w:pos="9360"/>
      </w:tabs>
    </w:pPr>
    <w:rPr>
      <w:rFonts w:cs="Times New Roman"/>
      <w:lang/>
    </w:rPr>
  </w:style>
  <w:style w:type="character" w:customStyle="1" w:styleId="HeaderChar">
    <w:name w:val="Header Char"/>
    <w:link w:val="Header"/>
    <w:uiPriority w:val="99"/>
    <w:rsid w:val="004644EF"/>
    <w:rPr>
      <w:rFonts w:ascii="Arial" w:hAnsi="Arial" w:cs="Nafees Naskh"/>
      <w:sz w:val="24"/>
      <w:szCs w:val="24"/>
    </w:rPr>
  </w:style>
  <w:style w:type="paragraph" w:styleId="Footer">
    <w:name w:val="footer"/>
    <w:basedOn w:val="Normal"/>
    <w:link w:val="FooterChar"/>
    <w:uiPriority w:val="99"/>
    <w:unhideWhenUsed/>
    <w:rsid w:val="004644EF"/>
    <w:pPr>
      <w:tabs>
        <w:tab w:val="center" w:pos="4680"/>
        <w:tab w:val="right" w:pos="9360"/>
      </w:tabs>
    </w:pPr>
    <w:rPr>
      <w:rFonts w:cs="Times New Roman"/>
      <w:lang/>
    </w:rPr>
  </w:style>
  <w:style w:type="character" w:customStyle="1" w:styleId="FooterChar">
    <w:name w:val="Footer Char"/>
    <w:link w:val="Footer"/>
    <w:uiPriority w:val="99"/>
    <w:rsid w:val="004644EF"/>
    <w:rPr>
      <w:rFonts w:ascii="Arial" w:hAnsi="Arial" w:cs="Nafees Naskh"/>
      <w:sz w:val="24"/>
      <w:szCs w:val="24"/>
    </w:rPr>
  </w:style>
  <w:style w:type="character" w:styleId="Hyperlink">
    <w:name w:val="Hyperlink"/>
    <w:uiPriority w:val="99"/>
    <w:unhideWhenUsed/>
    <w:rsid w:val="00AC2DC1"/>
    <w:rPr>
      <w:color w:val="0000FF"/>
      <w:u w:val="single"/>
    </w:rPr>
  </w:style>
  <w:style w:type="character" w:styleId="FollowedHyperlink">
    <w:name w:val="FollowedHyperlink"/>
    <w:uiPriority w:val="99"/>
    <w:semiHidden/>
    <w:unhideWhenUsed/>
    <w:rsid w:val="001E3605"/>
    <w:rPr>
      <w:color w:val="800080"/>
      <w:u w:val="single"/>
    </w:rPr>
  </w:style>
  <w:style w:type="paragraph" w:styleId="FootnoteText">
    <w:name w:val="footnote text"/>
    <w:basedOn w:val="Normal"/>
    <w:link w:val="FootnoteTextChar"/>
    <w:uiPriority w:val="99"/>
    <w:semiHidden/>
    <w:unhideWhenUsed/>
    <w:rsid w:val="002F66E2"/>
    <w:rPr>
      <w:sz w:val="20"/>
      <w:szCs w:val="20"/>
    </w:rPr>
  </w:style>
  <w:style w:type="character" w:customStyle="1" w:styleId="FootnoteTextChar">
    <w:name w:val="Footnote Text Char"/>
    <w:link w:val="FootnoteText"/>
    <w:uiPriority w:val="99"/>
    <w:semiHidden/>
    <w:rsid w:val="002F66E2"/>
    <w:rPr>
      <w:rFonts w:ascii="Arial" w:hAnsi="Arial" w:cs="Nafees Naskh"/>
    </w:rPr>
  </w:style>
  <w:style w:type="character" w:styleId="FootnoteReference">
    <w:name w:val="footnote reference"/>
    <w:uiPriority w:val="99"/>
    <w:semiHidden/>
    <w:unhideWhenUsed/>
    <w:rsid w:val="002F66E2"/>
    <w:rPr>
      <w:vertAlign w:val="superscript"/>
    </w:rPr>
  </w:style>
  <w:style w:type="paragraph" w:styleId="NormalWeb">
    <w:name w:val="Normal (Web)"/>
    <w:basedOn w:val="Normal"/>
    <w:uiPriority w:val="99"/>
    <w:semiHidden/>
    <w:unhideWhenUsed/>
    <w:rsid w:val="0037647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57F5A"/>
    <w:pPr>
      <w:spacing w:after="200" w:line="276" w:lineRule="auto"/>
      <w:ind w:left="720"/>
      <w:contextualSpacing/>
    </w:pPr>
    <w:rPr>
      <w:rFonts w:ascii="Calibri" w:eastAsia="Calibri" w:hAnsi="Calibri" w:cs="Arial"/>
      <w:sz w:val="22"/>
      <w:szCs w:val="22"/>
    </w:rPr>
  </w:style>
  <w:style w:type="paragraph" w:styleId="BodyText">
    <w:name w:val="Body Text"/>
    <w:basedOn w:val="Normal"/>
    <w:link w:val="BodyTextChar"/>
    <w:uiPriority w:val="99"/>
    <w:semiHidden/>
    <w:unhideWhenUsed/>
    <w:rsid w:val="00F01C07"/>
    <w:pPr>
      <w:spacing w:after="120"/>
    </w:pPr>
  </w:style>
  <w:style w:type="character" w:customStyle="1" w:styleId="BodyTextChar">
    <w:name w:val="Body Text Char"/>
    <w:link w:val="BodyText"/>
    <w:uiPriority w:val="99"/>
    <w:semiHidden/>
    <w:rsid w:val="00F01C07"/>
    <w:rPr>
      <w:rFonts w:ascii="Arial" w:hAnsi="Arial" w:cs="Nafees Naskh"/>
      <w:sz w:val="24"/>
      <w:szCs w:val="24"/>
    </w:rPr>
  </w:style>
  <w:style w:type="paragraph" w:styleId="BodyTextIndent3">
    <w:name w:val="Body Text Indent 3"/>
    <w:basedOn w:val="Normal"/>
    <w:link w:val="BodyTextIndent3Char"/>
    <w:uiPriority w:val="99"/>
    <w:unhideWhenUsed/>
    <w:rsid w:val="00F01C07"/>
    <w:pPr>
      <w:spacing w:after="120" w:line="276" w:lineRule="auto"/>
      <w:ind w:left="360"/>
    </w:pPr>
    <w:rPr>
      <w:rFonts w:ascii="Calibri" w:eastAsia="Calibri" w:hAnsi="Calibri" w:cs="Times New Roman"/>
      <w:sz w:val="16"/>
      <w:szCs w:val="16"/>
    </w:rPr>
  </w:style>
  <w:style w:type="character" w:customStyle="1" w:styleId="BodyTextIndent3Char">
    <w:name w:val="Body Text Indent 3 Char"/>
    <w:link w:val="BodyTextIndent3"/>
    <w:uiPriority w:val="99"/>
    <w:rsid w:val="00F01C07"/>
    <w:rPr>
      <w:rFonts w:ascii="Calibri" w:eastAsia="Calibri" w:hAnsi="Calibri"/>
      <w:sz w:val="16"/>
      <w:szCs w:val="16"/>
    </w:rPr>
  </w:style>
  <w:style w:type="paragraph" w:styleId="Title">
    <w:name w:val="Title"/>
    <w:basedOn w:val="Normal"/>
    <w:link w:val="TitleChar"/>
    <w:uiPriority w:val="10"/>
    <w:qFormat/>
    <w:rsid w:val="00F01C07"/>
    <w:pPr>
      <w:spacing w:before="100" w:beforeAutospacing="1" w:after="100" w:afterAutospacing="1"/>
    </w:pPr>
    <w:rPr>
      <w:rFonts w:ascii="Times New Roman" w:hAnsi="Times New Roman" w:cs="Times New Roman"/>
    </w:rPr>
  </w:style>
  <w:style w:type="character" w:customStyle="1" w:styleId="TitleChar">
    <w:name w:val="Title Char"/>
    <w:link w:val="Title"/>
    <w:uiPriority w:val="10"/>
    <w:rsid w:val="00F01C07"/>
    <w:rPr>
      <w:sz w:val="24"/>
      <w:szCs w:val="24"/>
    </w:rPr>
  </w:style>
  <w:style w:type="paragraph" w:customStyle="1" w:styleId="p6">
    <w:name w:val="p6"/>
    <w:basedOn w:val="Normal"/>
    <w:rsid w:val="00F01C07"/>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EA"/>
    <w:rPr>
      <w:rFonts w:ascii="Arial" w:hAnsi="Arial" w:cs="Nafees Naskh"/>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imes New Roman"/>
      <w:sz w:val="16"/>
      <w:szCs w:val="16"/>
      <w:lang/>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873F26"/>
    <w:pPr>
      <w:ind w:left="900" w:hanging="360"/>
      <w:jc w:val="both"/>
    </w:pPr>
    <w:rPr>
      <w:rFonts w:cs="Times New Roman"/>
      <w:lang w:val="en-GB" w:bidi="ur-PK"/>
    </w:rPr>
  </w:style>
  <w:style w:type="character" w:customStyle="1" w:styleId="BodyTextIndent2Char">
    <w:name w:val="Body Text Indent 2 Char"/>
    <w:link w:val="BodyTextIndent2"/>
    <w:rsid w:val="00873F26"/>
    <w:rPr>
      <w:rFonts w:ascii="Arial" w:hAnsi="Arial"/>
      <w:sz w:val="24"/>
      <w:szCs w:val="24"/>
      <w:lang w:val="en-GB" w:bidi="ur-PK"/>
    </w:rPr>
  </w:style>
  <w:style w:type="paragraph" w:styleId="Header">
    <w:name w:val="header"/>
    <w:basedOn w:val="Normal"/>
    <w:link w:val="HeaderChar"/>
    <w:uiPriority w:val="99"/>
    <w:unhideWhenUsed/>
    <w:rsid w:val="004644EF"/>
    <w:pPr>
      <w:tabs>
        <w:tab w:val="center" w:pos="4680"/>
        <w:tab w:val="right" w:pos="9360"/>
      </w:tabs>
    </w:pPr>
    <w:rPr>
      <w:rFonts w:cs="Times New Roman"/>
      <w:lang/>
    </w:rPr>
  </w:style>
  <w:style w:type="character" w:customStyle="1" w:styleId="HeaderChar">
    <w:name w:val="Header Char"/>
    <w:link w:val="Header"/>
    <w:uiPriority w:val="99"/>
    <w:rsid w:val="004644EF"/>
    <w:rPr>
      <w:rFonts w:ascii="Arial" w:hAnsi="Arial" w:cs="Nafees Naskh"/>
      <w:sz w:val="24"/>
      <w:szCs w:val="24"/>
    </w:rPr>
  </w:style>
  <w:style w:type="paragraph" w:styleId="Footer">
    <w:name w:val="footer"/>
    <w:basedOn w:val="Normal"/>
    <w:link w:val="FooterChar"/>
    <w:uiPriority w:val="99"/>
    <w:unhideWhenUsed/>
    <w:rsid w:val="004644EF"/>
    <w:pPr>
      <w:tabs>
        <w:tab w:val="center" w:pos="4680"/>
        <w:tab w:val="right" w:pos="9360"/>
      </w:tabs>
    </w:pPr>
    <w:rPr>
      <w:rFonts w:cs="Times New Roman"/>
      <w:lang/>
    </w:rPr>
  </w:style>
  <w:style w:type="character" w:customStyle="1" w:styleId="FooterChar">
    <w:name w:val="Footer Char"/>
    <w:link w:val="Footer"/>
    <w:uiPriority w:val="99"/>
    <w:rsid w:val="004644EF"/>
    <w:rPr>
      <w:rFonts w:ascii="Arial" w:hAnsi="Arial" w:cs="Nafees Naskh"/>
      <w:sz w:val="24"/>
      <w:szCs w:val="24"/>
    </w:rPr>
  </w:style>
  <w:style w:type="character" w:styleId="Hyperlink">
    <w:name w:val="Hyperlink"/>
    <w:uiPriority w:val="99"/>
    <w:unhideWhenUsed/>
    <w:rsid w:val="00AC2DC1"/>
    <w:rPr>
      <w:color w:val="0000FF"/>
      <w:u w:val="single"/>
    </w:rPr>
  </w:style>
  <w:style w:type="character" w:styleId="FollowedHyperlink">
    <w:name w:val="FollowedHyperlink"/>
    <w:uiPriority w:val="99"/>
    <w:semiHidden/>
    <w:unhideWhenUsed/>
    <w:rsid w:val="001E3605"/>
    <w:rPr>
      <w:color w:val="800080"/>
      <w:u w:val="single"/>
    </w:rPr>
  </w:style>
  <w:style w:type="paragraph" w:styleId="FootnoteText">
    <w:name w:val="footnote text"/>
    <w:basedOn w:val="Normal"/>
    <w:link w:val="FootnoteTextChar"/>
    <w:uiPriority w:val="99"/>
    <w:semiHidden/>
    <w:unhideWhenUsed/>
    <w:rsid w:val="002F66E2"/>
    <w:rPr>
      <w:sz w:val="20"/>
      <w:szCs w:val="20"/>
    </w:rPr>
  </w:style>
  <w:style w:type="character" w:customStyle="1" w:styleId="FootnoteTextChar">
    <w:name w:val="Footnote Text Char"/>
    <w:link w:val="FootnoteText"/>
    <w:uiPriority w:val="99"/>
    <w:semiHidden/>
    <w:rsid w:val="002F66E2"/>
    <w:rPr>
      <w:rFonts w:ascii="Arial" w:hAnsi="Arial" w:cs="Nafees Naskh"/>
    </w:rPr>
  </w:style>
  <w:style w:type="character" w:styleId="FootnoteReference">
    <w:name w:val="footnote reference"/>
    <w:uiPriority w:val="99"/>
    <w:semiHidden/>
    <w:unhideWhenUsed/>
    <w:rsid w:val="002F66E2"/>
    <w:rPr>
      <w:vertAlign w:val="superscript"/>
    </w:rPr>
  </w:style>
  <w:style w:type="paragraph" w:styleId="NormalWeb">
    <w:name w:val="Normal (Web)"/>
    <w:basedOn w:val="Normal"/>
    <w:uiPriority w:val="99"/>
    <w:semiHidden/>
    <w:unhideWhenUsed/>
    <w:rsid w:val="0037647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57F5A"/>
    <w:pPr>
      <w:spacing w:after="200" w:line="276" w:lineRule="auto"/>
      <w:ind w:left="720"/>
      <w:contextualSpacing/>
    </w:pPr>
    <w:rPr>
      <w:rFonts w:ascii="Calibri" w:eastAsia="Calibri" w:hAnsi="Calibri" w:cs="Arial"/>
      <w:sz w:val="22"/>
      <w:szCs w:val="22"/>
    </w:rPr>
  </w:style>
  <w:style w:type="paragraph" w:styleId="BodyText">
    <w:name w:val="Body Text"/>
    <w:basedOn w:val="Normal"/>
    <w:link w:val="BodyTextChar"/>
    <w:uiPriority w:val="99"/>
    <w:semiHidden/>
    <w:unhideWhenUsed/>
    <w:rsid w:val="00F01C07"/>
    <w:pPr>
      <w:spacing w:after="120"/>
    </w:pPr>
  </w:style>
  <w:style w:type="character" w:customStyle="1" w:styleId="BodyTextChar">
    <w:name w:val="Body Text Char"/>
    <w:link w:val="BodyText"/>
    <w:uiPriority w:val="99"/>
    <w:semiHidden/>
    <w:rsid w:val="00F01C07"/>
    <w:rPr>
      <w:rFonts w:ascii="Arial" w:hAnsi="Arial" w:cs="Nafees Naskh"/>
      <w:sz w:val="24"/>
      <w:szCs w:val="24"/>
    </w:rPr>
  </w:style>
  <w:style w:type="paragraph" w:styleId="BodyTextIndent3">
    <w:name w:val="Body Text Indent 3"/>
    <w:basedOn w:val="Normal"/>
    <w:link w:val="BodyTextIndent3Char"/>
    <w:uiPriority w:val="99"/>
    <w:unhideWhenUsed/>
    <w:rsid w:val="00F01C07"/>
    <w:pPr>
      <w:spacing w:after="120" w:line="276" w:lineRule="auto"/>
      <w:ind w:left="360"/>
    </w:pPr>
    <w:rPr>
      <w:rFonts w:ascii="Calibri" w:eastAsia="Calibri" w:hAnsi="Calibri" w:cs="Times New Roman"/>
      <w:sz w:val="16"/>
      <w:szCs w:val="16"/>
    </w:rPr>
  </w:style>
  <w:style w:type="character" w:customStyle="1" w:styleId="BodyTextIndent3Char">
    <w:name w:val="Body Text Indent 3 Char"/>
    <w:link w:val="BodyTextIndent3"/>
    <w:uiPriority w:val="99"/>
    <w:rsid w:val="00F01C07"/>
    <w:rPr>
      <w:rFonts w:ascii="Calibri" w:eastAsia="Calibri" w:hAnsi="Calibri"/>
      <w:sz w:val="16"/>
      <w:szCs w:val="16"/>
    </w:rPr>
  </w:style>
  <w:style w:type="paragraph" w:styleId="Title">
    <w:name w:val="Title"/>
    <w:basedOn w:val="Normal"/>
    <w:link w:val="TitleChar"/>
    <w:uiPriority w:val="10"/>
    <w:qFormat/>
    <w:rsid w:val="00F01C07"/>
    <w:pPr>
      <w:spacing w:before="100" w:beforeAutospacing="1" w:after="100" w:afterAutospacing="1"/>
    </w:pPr>
    <w:rPr>
      <w:rFonts w:ascii="Times New Roman" w:hAnsi="Times New Roman" w:cs="Times New Roman"/>
    </w:rPr>
  </w:style>
  <w:style w:type="character" w:customStyle="1" w:styleId="TitleChar">
    <w:name w:val="Title Char"/>
    <w:link w:val="Title"/>
    <w:uiPriority w:val="10"/>
    <w:rsid w:val="00F01C07"/>
    <w:rPr>
      <w:sz w:val="24"/>
      <w:szCs w:val="24"/>
    </w:rPr>
  </w:style>
  <w:style w:type="paragraph" w:customStyle="1" w:styleId="p6">
    <w:name w:val="p6"/>
    <w:basedOn w:val="Normal"/>
    <w:rsid w:val="00F01C0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7903">
      <w:bodyDiv w:val="1"/>
      <w:marLeft w:val="0"/>
      <w:marRight w:val="0"/>
      <w:marTop w:val="0"/>
      <w:marBottom w:val="0"/>
      <w:divBdr>
        <w:top w:val="none" w:sz="0" w:space="0" w:color="auto"/>
        <w:left w:val="none" w:sz="0" w:space="0" w:color="auto"/>
        <w:bottom w:val="none" w:sz="0" w:space="0" w:color="auto"/>
        <w:right w:val="none" w:sz="0" w:space="0" w:color="auto"/>
      </w:divBdr>
    </w:div>
    <w:div w:id="17507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92E0-B27F-4F31-A61A-989B858C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 Bill</vt:lpstr>
    </vt:vector>
  </TitlesOfParts>
  <Company>law</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Bill</dc:title>
  <dc:creator>Mohsin Abbas Syed</dc:creator>
  <cp:lastModifiedBy>Sultan Masood</cp:lastModifiedBy>
  <cp:revision>2</cp:revision>
  <cp:lastPrinted>2019-04-22T14:13:00Z</cp:lastPrinted>
  <dcterms:created xsi:type="dcterms:W3CDTF">2019-05-16T06:07:00Z</dcterms:created>
  <dcterms:modified xsi:type="dcterms:W3CDTF">2019-05-16T06:07:00Z</dcterms:modified>
</cp:coreProperties>
</file>